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12" w:rsidRPr="00CE7BEC" w:rsidRDefault="005E2A12" w:rsidP="005E2A12">
      <w:pPr>
        <w:spacing w:after="0" w:line="240" w:lineRule="auto"/>
        <w:jc w:val="right"/>
        <w:rPr>
          <w:rFonts w:eastAsia="Times New Roman"/>
          <w:b/>
          <w:bCs/>
          <w:sz w:val="23"/>
          <w:szCs w:val="23"/>
          <w:lang w:eastAsia="lv-LV"/>
        </w:rPr>
      </w:pPr>
      <w:r>
        <w:rPr>
          <w:rFonts w:eastAsia="Times New Roman"/>
          <w:b/>
          <w:bCs/>
          <w:sz w:val="23"/>
          <w:szCs w:val="23"/>
          <w:lang w:eastAsia="lv-LV"/>
        </w:rPr>
        <w:t>1</w:t>
      </w:r>
      <w:r w:rsidRPr="00CE7BEC">
        <w:rPr>
          <w:rFonts w:eastAsia="Times New Roman"/>
          <w:b/>
          <w:bCs/>
          <w:sz w:val="23"/>
          <w:szCs w:val="23"/>
          <w:lang w:eastAsia="lv-LV"/>
        </w:rPr>
        <w:t xml:space="preserve">.pielikums </w:t>
      </w:r>
    </w:p>
    <w:p w:rsidR="005E2A12" w:rsidRPr="00710E72" w:rsidRDefault="005E2A12" w:rsidP="005E2A12">
      <w:pPr>
        <w:pStyle w:val="Default"/>
        <w:jc w:val="right"/>
        <w:rPr>
          <w:color w:val="auto"/>
        </w:rPr>
      </w:pPr>
      <w:r>
        <w:rPr>
          <w:b/>
        </w:rPr>
        <w:tab/>
      </w:r>
      <w:r>
        <w:rPr>
          <w:color w:val="auto"/>
        </w:rPr>
        <w:t>Iepirkumam</w:t>
      </w:r>
      <w:r w:rsidRPr="00710E72">
        <w:rPr>
          <w:color w:val="auto"/>
        </w:rPr>
        <w:t>, identifikācijas</w:t>
      </w:r>
    </w:p>
    <w:p w:rsidR="005E2A12" w:rsidRDefault="005E2A12" w:rsidP="005E2A12">
      <w:pPr>
        <w:pStyle w:val="Default"/>
        <w:jc w:val="right"/>
        <w:rPr>
          <w:color w:val="auto"/>
        </w:rPr>
      </w:pPr>
      <w:r w:rsidRPr="00710E72">
        <w:rPr>
          <w:color w:val="auto"/>
        </w:rPr>
        <w:t>Nr. </w:t>
      </w:r>
      <w:r>
        <w:rPr>
          <w:color w:val="auto"/>
        </w:rPr>
        <w:t>PSKUS 2018/86</w:t>
      </w:r>
      <w:r w:rsidRPr="00710E72">
        <w:rPr>
          <w:color w:val="auto"/>
        </w:rPr>
        <w:t>, nolikumam</w:t>
      </w:r>
    </w:p>
    <w:p w:rsidR="005E2A12" w:rsidRPr="00CE7BEC" w:rsidRDefault="005E2A12" w:rsidP="005E2A12">
      <w:pPr>
        <w:tabs>
          <w:tab w:val="left" w:pos="11235"/>
        </w:tabs>
        <w:suppressAutoHyphens/>
        <w:autoSpaceDN w:val="0"/>
        <w:spacing w:after="0" w:line="240" w:lineRule="auto"/>
        <w:jc w:val="center"/>
        <w:textAlignment w:val="baseline"/>
        <w:rPr>
          <w:b/>
          <w:szCs w:val="24"/>
        </w:rPr>
      </w:pPr>
      <w:r>
        <w:rPr>
          <w:b/>
          <w:szCs w:val="24"/>
        </w:rPr>
        <w:t>TEHNISKĀ SPECIFIKĀCIJA</w:t>
      </w:r>
    </w:p>
    <w:p w:rsidR="00DB0C40" w:rsidRPr="004F4DD3" w:rsidRDefault="00DB0C40" w:rsidP="00DB0C40">
      <w:pPr>
        <w:spacing w:after="0"/>
        <w:jc w:val="center"/>
        <w:rPr>
          <w:szCs w:val="24"/>
        </w:rPr>
      </w:pPr>
      <w:bookmarkStart w:id="0" w:name="_Hlk515355501"/>
      <w:r>
        <w:rPr>
          <w:rFonts w:eastAsia="Times New Roman"/>
          <w:szCs w:val="24"/>
          <w:lang w:eastAsia="lv-LV"/>
        </w:rPr>
        <w:t xml:space="preserve">iepirkumam </w:t>
      </w:r>
      <w:bookmarkStart w:id="1" w:name="_Hlk486595702"/>
      <w:r w:rsidRPr="003569C4">
        <w:rPr>
          <w:rFonts w:eastAsia="Times New Roman"/>
          <w:szCs w:val="24"/>
          <w:lang w:eastAsia="lv-LV"/>
        </w:rPr>
        <w:t>„</w:t>
      </w:r>
      <w:r>
        <w:rPr>
          <w:szCs w:val="24"/>
        </w:rPr>
        <w:t>Teritorijas apgaismojuma modernizācija</w:t>
      </w:r>
      <w:r w:rsidRPr="00463E04">
        <w:rPr>
          <w:szCs w:val="24"/>
        </w:rPr>
        <w:t>"</w:t>
      </w:r>
    </w:p>
    <w:bookmarkEnd w:id="1"/>
    <w:p w:rsidR="00DB0C40" w:rsidRPr="00BE6C00" w:rsidRDefault="00DB0C40" w:rsidP="00DB0C40">
      <w:pPr>
        <w:keepNext/>
        <w:spacing w:after="0" w:line="240" w:lineRule="auto"/>
        <w:jc w:val="center"/>
        <w:rPr>
          <w:rFonts w:eastAsia="Times New Roman"/>
          <w:szCs w:val="24"/>
        </w:rPr>
      </w:pPr>
      <w:r w:rsidRPr="00BE6C00">
        <w:rPr>
          <w:rFonts w:eastAsia="Times New Roman"/>
          <w:szCs w:val="24"/>
        </w:rPr>
        <w:t xml:space="preserve">(identifikācijas Nr. </w:t>
      </w:r>
      <w:r>
        <w:rPr>
          <w:szCs w:val="24"/>
        </w:rPr>
        <w:t>PSKUS 2018/86</w:t>
      </w:r>
      <w:r w:rsidRPr="00BE6C00">
        <w:rPr>
          <w:rFonts w:eastAsia="Times New Roman"/>
          <w:szCs w:val="24"/>
        </w:rPr>
        <w:t>)</w:t>
      </w:r>
    </w:p>
    <w:bookmarkEnd w:id="0"/>
    <w:p w:rsidR="005E2A12" w:rsidRDefault="005E2A12" w:rsidP="005E2A12">
      <w:pPr>
        <w:rPr>
          <w:b/>
        </w:rPr>
      </w:pPr>
    </w:p>
    <w:p w:rsidR="005E2A12" w:rsidRDefault="005E2A12" w:rsidP="005E2A12">
      <w:pPr>
        <w:pStyle w:val="ListParagraph"/>
        <w:numPr>
          <w:ilvl w:val="0"/>
          <w:numId w:val="2"/>
        </w:numPr>
      </w:pPr>
      <w:r w:rsidRPr="00AE7C87">
        <w:rPr>
          <w:b/>
        </w:rPr>
        <w:t xml:space="preserve">Iepirkuma priekšmets: </w:t>
      </w:r>
      <w:r w:rsidRPr="00D73329">
        <w:t>Teritorijas apgaismojuma</w:t>
      </w:r>
      <w:r>
        <w:t xml:space="preserve"> modernizācija VSIA “Paula Stradiņa klīniskā universitātes slimnīcā”</w:t>
      </w:r>
    </w:p>
    <w:p w:rsidR="005E2A12" w:rsidRDefault="005E2A12" w:rsidP="005E2A12">
      <w:pPr>
        <w:pStyle w:val="ListParagraph"/>
        <w:numPr>
          <w:ilvl w:val="0"/>
          <w:numId w:val="2"/>
        </w:numPr>
        <w:rPr>
          <w:b/>
        </w:rPr>
      </w:pPr>
      <w:r w:rsidRPr="00754431">
        <w:rPr>
          <w:b/>
        </w:rPr>
        <w:t>Termiņi:</w:t>
      </w:r>
    </w:p>
    <w:p w:rsidR="005E2A12" w:rsidRPr="001B16ED" w:rsidRDefault="005E2A12" w:rsidP="005E2A12">
      <w:pPr>
        <w:pStyle w:val="ListParagraph"/>
      </w:pPr>
      <w:r w:rsidRPr="001B16ED">
        <w:t xml:space="preserve">2.1. </w:t>
      </w:r>
      <w:r>
        <w:t>Gaismekļu</w:t>
      </w:r>
      <w:r w:rsidRPr="001B16ED">
        <w:t xml:space="preserve"> piegāde</w:t>
      </w:r>
      <w:r>
        <w:t xml:space="preserve"> - </w:t>
      </w:r>
      <w:r>
        <w:rPr>
          <w:b/>
        </w:rPr>
        <w:t>6</w:t>
      </w:r>
      <w:r w:rsidRPr="001B16ED">
        <w:rPr>
          <w:b/>
        </w:rPr>
        <w:t xml:space="preserve"> nedēļu</w:t>
      </w:r>
      <w:r w:rsidRPr="001B16ED">
        <w:t xml:space="preserve"> laikā</w:t>
      </w:r>
      <w:r>
        <w:t xml:space="preserve"> no līguma noslēgšanas brīža.</w:t>
      </w:r>
    </w:p>
    <w:p w:rsidR="005E2A12" w:rsidRPr="00754431" w:rsidRDefault="005E2A12" w:rsidP="005E2A12">
      <w:pPr>
        <w:pStyle w:val="ListParagraph"/>
      </w:pPr>
      <w:r w:rsidRPr="001B16ED">
        <w:t xml:space="preserve">2.2. </w:t>
      </w:r>
      <w:bookmarkStart w:id="2" w:name="_Hlk515370374"/>
      <w:r>
        <w:t xml:space="preserve">Esošo gaismekļu demontāža un jauno gaismekļu montāža un uzstādīšana - </w:t>
      </w:r>
      <w:r w:rsidRPr="001B16ED">
        <w:t xml:space="preserve"> </w:t>
      </w:r>
      <w:r>
        <w:rPr>
          <w:b/>
        </w:rPr>
        <w:t>6</w:t>
      </w:r>
      <w:r w:rsidRPr="001B16ED">
        <w:rPr>
          <w:b/>
        </w:rPr>
        <w:t xml:space="preserve"> nedēļu</w:t>
      </w:r>
      <w:r w:rsidRPr="001B16ED">
        <w:t xml:space="preserve"> laikā no</w:t>
      </w:r>
      <w:r>
        <w:t xml:space="preserve"> iekārtu</w:t>
      </w:r>
      <w:r w:rsidRPr="001B16ED">
        <w:t xml:space="preserve"> piegādes dienas</w:t>
      </w:r>
      <w:bookmarkEnd w:id="2"/>
    </w:p>
    <w:p w:rsidR="005E2A12" w:rsidRPr="00AE7C87" w:rsidRDefault="005E2A12" w:rsidP="005E2A12">
      <w:pPr>
        <w:pStyle w:val="ListParagraph"/>
        <w:numPr>
          <w:ilvl w:val="0"/>
          <w:numId w:val="2"/>
        </w:numPr>
        <w:rPr>
          <w:b/>
        </w:rPr>
      </w:pPr>
      <w:r w:rsidRPr="00AE7C87">
        <w:rPr>
          <w:b/>
        </w:rPr>
        <w:t>Iepirkuma priekšmeta informācija:</w:t>
      </w:r>
    </w:p>
    <w:tbl>
      <w:tblPr>
        <w:tblW w:w="14029" w:type="dxa"/>
        <w:tblCellMar>
          <w:top w:w="15" w:type="dxa"/>
          <w:bottom w:w="15" w:type="dxa"/>
        </w:tblCellMar>
        <w:tblLook w:val="04A0" w:firstRow="1" w:lastRow="0" w:firstColumn="1" w:lastColumn="0" w:noHBand="0" w:noVBand="1"/>
      </w:tblPr>
      <w:tblGrid>
        <w:gridCol w:w="980"/>
        <w:gridCol w:w="3840"/>
        <w:gridCol w:w="3840"/>
        <w:gridCol w:w="5369"/>
      </w:tblGrid>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b/>
                <w:bCs/>
                <w:color w:val="000000"/>
                <w:sz w:val="20"/>
                <w:szCs w:val="20"/>
                <w:lang w:eastAsia="lv-LV"/>
              </w:rPr>
            </w:pPr>
            <w:proofErr w:type="spellStart"/>
            <w:r w:rsidRPr="00C17B02">
              <w:rPr>
                <w:rFonts w:eastAsia="Times New Roman" w:cs="Times New Roman"/>
                <w:b/>
                <w:bCs/>
                <w:color w:val="000000"/>
                <w:sz w:val="20"/>
                <w:szCs w:val="20"/>
                <w:lang w:eastAsia="lv-LV"/>
              </w:rPr>
              <w:t>Nr.p.k</w:t>
            </w:r>
            <w:proofErr w:type="spellEnd"/>
            <w:r w:rsidRPr="00C17B02">
              <w:rPr>
                <w:rFonts w:eastAsia="Times New Roman" w:cs="Times New Roman"/>
                <w:b/>
                <w:bCs/>
                <w:color w:val="000000"/>
                <w:sz w:val="20"/>
                <w:szCs w:val="20"/>
                <w:lang w:eastAsia="lv-LV"/>
              </w:rPr>
              <w:t>.</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b/>
                <w:bCs/>
                <w:color w:val="000000"/>
                <w:sz w:val="20"/>
                <w:szCs w:val="20"/>
                <w:lang w:eastAsia="lv-LV"/>
              </w:rPr>
            </w:pPr>
            <w:r>
              <w:rPr>
                <w:rFonts w:eastAsia="Times New Roman" w:cs="Times New Roman"/>
                <w:b/>
                <w:bCs/>
                <w:color w:val="000000"/>
                <w:sz w:val="20"/>
                <w:szCs w:val="20"/>
                <w:lang w:eastAsia="lv-LV"/>
              </w:rPr>
              <w:t>Tehnisko parametru saraksts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b/>
                <w:bCs/>
                <w:color w:val="000000"/>
                <w:sz w:val="20"/>
                <w:szCs w:val="20"/>
                <w:lang w:eastAsia="lv-LV"/>
              </w:rPr>
            </w:pPr>
            <w:r w:rsidRPr="00C17B02">
              <w:rPr>
                <w:rFonts w:eastAsia="Times New Roman" w:cs="Times New Roman"/>
                <w:b/>
                <w:bCs/>
                <w:color w:val="000000"/>
                <w:sz w:val="20"/>
                <w:szCs w:val="20"/>
                <w:lang w:eastAsia="lv-LV"/>
              </w:rPr>
              <w:t>Prasības LED ielas gaismeklim līdz 90W</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b/>
                <w:bCs/>
                <w:color w:val="000000"/>
                <w:sz w:val="20"/>
                <w:szCs w:val="20"/>
                <w:lang w:eastAsia="lv-LV"/>
              </w:rPr>
            </w:pPr>
            <w:r w:rsidRPr="006259E3">
              <w:rPr>
                <w:rFonts w:eastAsia="Times New Roman" w:cs="Times New Roman"/>
                <w:b/>
                <w:bCs/>
                <w:color w:val="000000"/>
                <w:sz w:val="20"/>
                <w:szCs w:val="20"/>
                <w:lang w:eastAsia="lv-LV"/>
              </w:rPr>
              <w:t>Pretendenta tehniskais piedāvājums</w:t>
            </w: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 xml:space="preserve"> Prognozējamais g</w:t>
            </w:r>
            <w:r w:rsidRPr="00C17B02">
              <w:rPr>
                <w:rFonts w:eastAsia="Times New Roman" w:cs="Times New Roman"/>
                <w:color w:val="000000"/>
                <w:sz w:val="20"/>
                <w:szCs w:val="20"/>
                <w:lang w:eastAsia="lv-LV"/>
              </w:rPr>
              <w:t>aismekļu skaits: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47 gabali</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avota tips: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LED (gaismas diodes)</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plūsmas veids: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Asimetriska ielas optika</w:t>
            </w:r>
            <w:r>
              <w:rPr>
                <w:rFonts w:eastAsia="Times New Roman" w:cs="Times New Roman"/>
                <w:color w:val="000000"/>
                <w:sz w:val="20"/>
                <w:szCs w:val="20"/>
                <w:lang w:eastAsia="lv-LV"/>
              </w:rPr>
              <w:t xml:space="preserve"> (lēcu optika)</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korpusa izpildījums: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Liets alumīnijs</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.5</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aizsardzības klase (IP),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IP66</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triecienizturības klase (IK),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IK0</w:t>
            </w:r>
            <w:r>
              <w:rPr>
                <w:rFonts w:eastAsia="Times New Roman" w:cs="Times New Roman"/>
                <w:color w:val="000000"/>
                <w:sz w:val="20"/>
                <w:szCs w:val="20"/>
                <w:lang w:eastAsia="lv-LV"/>
              </w:rPr>
              <w:t>9</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.7</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svars (kg), ne lielāks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13 kg</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.8</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saderība ar balsta vai konsoles gala diametru, ne sliktāk kā:</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Uz sāna konsoles un tieši uz balsta:</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Ø (diametrs) 40÷60mm</w:t>
            </w: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.9</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Darba temperatūra:</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-35°C - +50°C</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lastRenderedPageBreak/>
              <w:t>3</w:t>
            </w:r>
            <w:r w:rsidRPr="00C17B02">
              <w:rPr>
                <w:rFonts w:eastAsia="Times New Roman" w:cs="Times New Roman"/>
                <w:color w:val="000000"/>
                <w:sz w:val="20"/>
                <w:szCs w:val="20"/>
                <w:lang w:eastAsia="lv-LV"/>
              </w:rPr>
              <w:t>.10</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 xml:space="preserve">Hromatisma  pielaide pēc </w:t>
            </w:r>
            <w:r w:rsidRPr="00A41FEC">
              <w:rPr>
                <w:rFonts w:eastAsia="Times New Roman" w:cs="Times New Roman"/>
                <w:i/>
                <w:color w:val="000000"/>
                <w:sz w:val="20"/>
                <w:szCs w:val="20"/>
                <w:lang w:eastAsia="lv-LV"/>
              </w:rPr>
              <w:t xml:space="preserve">Mac Adam </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Ne vairāk par 5</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stiprināšanas veids: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Ar nerūsējoša tērauda skrūvēm</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efektivitāte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 xml:space="preserve">125 </w:t>
            </w:r>
            <w:r w:rsidRPr="00C17B02">
              <w:rPr>
                <w:rFonts w:eastAsia="Times New Roman" w:cs="Times New Roman"/>
                <w:color w:val="000000"/>
                <w:sz w:val="20"/>
                <w:szCs w:val="20"/>
                <w:lang w:eastAsia="lv-LV"/>
              </w:rPr>
              <w:t>Lm/W</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Sistēmas faktiskā gaismas plūsma, ieskaitot optikas zudumus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11 500</w:t>
            </w:r>
            <w:r w:rsidRPr="00C17B02">
              <w:rPr>
                <w:rFonts w:eastAsia="Times New Roman" w:cs="Times New Roman"/>
                <w:color w:val="000000"/>
                <w:sz w:val="20"/>
                <w:szCs w:val="20"/>
                <w:lang w:eastAsia="lv-LV"/>
              </w:rPr>
              <w:t xml:space="preserve"> Lm</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krāsas izšķirtspēja (CRI), ne mazāka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jc w:val="right"/>
              <w:rPr>
                <w:rFonts w:eastAsia="Times New Roman" w:cs="Times New Roman"/>
                <w:color w:val="000000"/>
                <w:sz w:val="20"/>
                <w:szCs w:val="20"/>
                <w:lang w:eastAsia="lv-LV"/>
              </w:rPr>
            </w:pPr>
            <w:r w:rsidRPr="00C17B02">
              <w:rPr>
                <w:rFonts w:eastAsia="Times New Roman" w:cs="Times New Roman"/>
                <w:color w:val="000000"/>
                <w:sz w:val="20"/>
                <w:szCs w:val="20"/>
                <w:lang w:eastAsia="lv-LV"/>
              </w:rPr>
              <w:t>70%</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jc w:val="right"/>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.15</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krāsas temperatūra, ne vairāk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4000K +/-10%</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Automātiskās </w:t>
            </w:r>
            <w:proofErr w:type="spellStart"/>
            <w:r w:rsidRPr="00C17B02">
              <w:rPr>
                <w:rFonts w:eastAsia="Times New Roman" w:cs="Times New Roman"/>
                <w:color w:val="000000"/>
                <w:sz w:val="20"/>
                <w:szCs w:val="20"/>
                <w:lang w:eastAsia="lv-LV"/>
              </w:rPr>
              <w:t>dimmēšanas</w:t>
            </w:r>
            <w:proofErr w:type="spellEnd"/>
            <w:r w:rsidRPr="00C17B02">
              <w:rPr>
                <w:rFonts w:eastAsia="Times New Roman" w:cs="Times New Roman"/>
                <w:color w:val="000000"/>
                <w:sz w:val="20"/>
                <w:szCs w:val="20"/>
                <w:lang w:eastAsia="lv-LV"/>
              </w:rPr>
              <w:t xml:space="preserve"> sinhronizācija:</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Ar elektriskās barošanas padevi</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.17</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Gaismas plūsmas </w:t>
            </w:r>
            <w:proofErr w:type="spellStart"/>
            <w:r w:rsidRPr="00C17B02">
              <w:rPr>
                <w:rFonts w:eastAsia="Times New Roman" w:cs="Times New Roman"/>
                <w:color w:val="000000"/>
                <w:sz w:val="20"/>
                <w:szCs w:val="20"/>
                <w:lang w:eastAsia="lv-LV"/>
              </w:rPr>
              <w:t>dimmēšanas</w:t>
            </w:r>
            <w:proofErr w:type="spellEnd"/>
            <w:r w:rsidRPr="00C17B02">
              <w:rPr>
                <w:rFonts w:eastAsia="Times New Roman" w:cs="Times New Roman"/>
                <w:color w:val="000000"/>
                <w:sz w:val="20"/>
                <w:szCs w:val="20"/>
                <w:lang w:eastAsia="lv-LV"/>
              </w:rPr>
              <w:t xml:space="preserve"> iekārtas papildus prasības:</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Iekārta ir rūpnieciski integrēta gaismekļa korpusā gaismekļa ražošanas procesā</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.18</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Barošanas darba sprieguma diapazons, nominālais: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200 ÷ 240V</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.19</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Elektroizolācijas drošības klase pēc EN-60598:</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I (pirmā)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.20</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Izturība pret </w:t>
            </w:r>
            <w:proofErr w:type="spellStart"/>
            <w:r w:rsidRPr="00C17B02">
              <w:rPr>
                <w:rFonts w:eastAsia="Times New Roman" w:cs="Times New Roman"/>
                <w:color w:val="000000"/>
                <w:sz w:val="20"/>
                <w:szCs w:val="20"/>
                <w:lang w:eastAsia="lv-LV"/>
              </w:rPr>
              <w:t>pārspriegumu</w:t>
            </w:r>
            <w:proofErr w:type="spellEnd"/>
            <w:r w:rsidRPr="00C17B02">
              <w:rPr>
                <w:rFonts w:eastAsia="Times New Roman" w:cs="Times New Roman"/>
                <w:color w:val="000000"/>
                <w:sz w:val="20"/>
                <w:szCs w:val="20"/>
                <w:lang w:eastAsia="lv-LV"/>
              </w:rPr>
              <w:t>, ne sliktāk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10</w:t>
            </w:r>
            <w:r w:rsidRPr="00C17B02">
              <w:rPr>
                <w:rFonts w:eastAsia="Times New Roman" w:cs="Times New Roman"/>
                <w:color w:val="000000"/>
                <w:sz w:val="20"/>
                <w:szCs w:val="20"/>
                <w:lang w:eastAsia="lv-LV"/>
              </w:rPr>
              <w:t>kV</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Kopējā elektriskā patērējamā jauda, ne vairāk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9</w:t>
            </w:r>
            <w:r>
              <w:rPr>
                <w:rFonts w:eastAsia="Times New Roman" w:cs="Times New Roman"/>
                <w:color w:val="000000"/>
                <w:sz w:val="20"/>
                <w:szCs w:val="20"/>
                <w:lang w:eastAsia="lv-LV"/>
              </w:rPr>
              <w:t>2</w:t>
            </w:r>
            <w:r w:rsidRPr="00C17B02">
              <w:rPr>
                <w:rFonts w:eastAsia="Times New Roman" w:cs="Times New Roman"/>
                <w:color w:val="000000"/>
                <w:sz w:val="20"/>
                <w:szCs w:val="20"/>
                <w:lang w:eastAsia="lv-LV"/>
              </w:rPr>
              <w:t xml:space="preserve"> W</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barošanas bloka lietderības koeficients, ne mazāk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0,92</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Jaudas faktors (</w:t>
            </w:r>
            <w:proofErr w:type="spellStart"/>
            <w:r w:rsidRPr="00C17B02">
              <w:rPr>
                <w:rFonts w:eastAsia="Times New Roman" w:cs="Times New Roman"/>
                <w:color w:val="000000"/>
                <w:sz w:val="20"/>
                <w:szCs w:val="20"/>
                <w:lang w:eastAsia="lv-LV"/>
              </w:rPr>
              <w:t>Cosφ</w:t>
            </w:r>
            <w:proofErr w:type="spellEnd"/>
            <w:r w:rsidRPr="00C17B02">
              <w:rPr>
                <w:rFonts w:eastAsia="Times New Roman" w:cs="Times New Roman"/>
                <w:color w:val="000000"/>
                <w:sz w:val="20"/>
                <w:szCs w:val="20"/>
                <w:lang w:eastAsia="lv-LV"/>
              </w:rPr>
              <w:t>), pie 100% noslodzes, ne mazāk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0,95</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Gaismekļu barošanas bloka papildus tehniskās prasības:</w:t>
            </w:r>
          </w:p>
        </w:tc>
        <w:tc>
          <w:tcPr>
            <w:tcW w:w="3840" w:type="dxa"/>
            <w:tcBorders>
              <w:top w:val="single" w:sz="4" w:space="0" w:color="000000"/>
              <w:left w:val="nil"/>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Programmējams barošanas bloks ar izejas strāvas programmēšanas funkciju;</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lastRenderedPageBreak/>
              <w:t>3</w:t>
            </w:r>
            <w:r w:rsidRPr="00C17B02">
              <w:rPr>
                <w:rFonts w:eastAsia="Times New Roman" w:cs="Times New Roman"/>
                <w:color w:val="000000"/>
                <w:sz w:val="20"/>
                <w:szCs w:val="20"/>
                <w:lang w:eastAsia="lv-LV"/>
              </w:rPr>
              <w:t>.24.2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Vadības protokoli</w:t>
            </w:r>
            <w:r>
              <w:rPr>
                <w:rFonts w:eastAsia="Times New Roman" w:cs="Times New Roman"/>
                <w:color w:val="000000"/>
                <w:sz w:val="20"/>
                <w:szCs w:val="20"/>
                <w:lang w:eastAsia="lv-LV"/>
              </w:rPr>
              <w:t xml:space="preserve"> </w:t>
            </w:r>
            <w:r w:rsidRPr="00C17B02">
              <w:rPr>
                <w:rFonts w:eastAsia="Times New Roman" w:cs="Times New Roman"/>
                <w:color w:val="000000"/>
                <w:sz w:val="20"/>
                <w:szCs w:val="20"/>
                <w:lang w:eastAsia="lv-LV"/>
              </w:rPr>
              <w:t>DALI;</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103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Barošanas blokā iebūvēta automātiskās jaudas samazināšanas funkcija līdz 20% no sākotnējās jaudas, iespējami ne mazāk kā 5 dažādi apgaismojuma līmeņa režīmi.</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.24.4</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Automātiskās aizsardzības no pārkarsēšanas programmēšanas funkcija, ar </w:t>
            </w:r>
            <w:proofErr w:type="spellStart"/>
            <w:r w:rsidRPr="00C17B02">
              <w:rPr>
                <w:rFonts w:eastAsia="Times New Roman" w:cs="Times New Roman"/>
                <w:color w:val="000000"/>
                <w:sz w:val="20"/>
                <w:szCs w:val="20"/>
                <w:lang w:eastAsia="lv-LV"/>
              </w:rPr>
              <w:t>robežtemperatūru</w:t>
            </w:r>
            <w:proofErr w:type="spellEnd"/>
            <w:r w:rsidRPr="00C17B02">
              <w:rPr>
                <w:rFonts w:eastAsia="Times New Roman" w:cs="Times New Roman"/>
                <w:color w:val="000000"/>
                <w:sz w:val="20"/>
                <w:szCs w:val="20"/>
                <w:lang w:eastAsia="lv-LV"/>
              </w:rPr>
              <w:t xml:space="preserve"> iestatīšanas iespēju</w:t>
            </w:r>
            <w:r>
              <w:rPr>
                <w:rFonts w:eastAsia="Times New Roman" w:cs="Times New Roman"/>
                <w:color w:val="000000"/>
                <w:sz w:val="20"/>
                <w:szCs w:val="20"/>
                <w:lang w:eastAsia="lv-LV"/>
              </w:rPr>
              <w:t xml:space="preserve"> ražošanas procesā </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sz w:val="20"/>
                <w:szCs w:val="20"/>
                <w:lang w:eastAsia="lv-LV"/>
              </w:rPr>
            </w:pP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5%</w:t>
            </w: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5</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Gaismas avota automātiska aizsardzība no</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Ar gaismas avota patērējamās jaudas samazināšanos</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pārkarsēšanas:</w:t>
            </w: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Aizsardzība no piesārņojuma ar gaismu, ne sliktāk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0 </w:t>
            </w:r>
            <w:proofErr w:type="spellStart"/>
            <w:r w:rsidRPr="00C17B02">
              <w:rPr>
                <w:rFonts w:eastAsia="Times New Roman" w:cs="Times New Roman"/>
                <w:color w:val="000000"/>
                <w:sz w:val="20"/>
                <w:szCs w:val="20"/>
                <w:lang w:eastAsia="lv-LV"/>
              </w:rPr>
              <w:t>kandelas</w:t>
            </w:r>
            <w:proofErr w:type="spellEnd"/>
            <w:r w:rsidRPr="00C17B02">
              <w:rPr>
                <w:rFonts w:eastAsia="Times New Roman" w:cs="Times New Roman"/>
                <w:color w:val="000000"/>
                <w:sz w:val="20"/>
                <w:szCs w:val="20"/>
                <w:lang w:eastAsia="lv-LV"/>
              </w:rPr>
              <w:t xml:space="preserve"> gaismas izstarojums virs 90° no apgaismojamās virsmas</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7</w:t>
            </w:r>
            <w:r w:rsidRPr="00C17B02">
              <w:rPr>
                <w:rFonts w:eastAsia="Times New Roman" w:cs="Times New Roman"/>
                <w:color w:val="000000"/>
                <w:sz w:val="20"/>
                <w:szCs w:val="20"/>
                <w:lang w:eastAsia="lv-LV"/>
              </w:rPr>
              <w:t>.</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kalpošanas laiks ne mazāk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10 000 h pie L95B10C10</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8</w:t>
            </w:r>
            <w:r w:rsidRPr="00C17B02">
              <w:rPr>
                <w:rFonts w:eastAsia="Times New Roman" w:cs="Times New Roman"/>
                <w:color w:val="000000"/>
                <w:sz w:val="20"/>
                <w:szCs w:val="20"/>
                <w:lang w:eastAsia="lv-LV"/>
              </w:rPr>
              <w:t>.</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Papildus prasības</w:t>
            </w:r>
            <w:r>
              <w:rPr>
                <w:rFonts w:eastAsia="Times New Roman" w:cs="Times New Roman"/>
                <w:color w:val="000000"/>
                <w:sz w:val="20"/>
                <w:szCs w:val="20"/>
                <w:lang w:eastAsia="lv-LV"/>
              </w:rPr>
              <w:t xml:space="preserve"> gaismeklim</w:t>
            </w:r>
          </w:p>
        </w:tc>
        <w:tc>
          <w:tcPr>
            <w:tcW w:w="3840" w:type="dxa"/>
            <w:vMerge w:val="restart"/>
            <w:tcBorders>
              <w:top w:val="single" w:sz="4" w:space="0" w:color="000000"/>
              <w:left w:val="nil"/>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3840" w:type="dxa"/>
            <w:vMerge/>
            <w:tcBorders>
              <w:top w:val="single" w:sz="4" w:space="0" w:color="000000"/>
              <w:left w:val="nil"/>
              <w:bottom w:val="nil"/>
              <w:right w:val="single" w:sz="4" w:space="0" w:color="000000"/>
            </w:tcBorders>
            <w:vAlign w:val="center"/>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8</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Atverot gaismekļa korpusu, tiek pārtraukta tā </w:t>
            </w:r>
            <w:proofErr w:type="spellStart"/>
            <w:r w:rsidRPr="00C17B02">
              <w:rPr>
                <w:rFonts w:eastAsia="Times New Roman" w:cs="Times New Roman"/>
                <w:color w:val="000000"/>
                <w:sz w:val="20"/>
                <w:szCs w:val="20"/>
                <w:lang w:eastAsia="lv-LV"/>
              </w:rPr>
              <w:t>elektrobarošanas</w:t>
            </w:r>
            <w:proofErr w:type="spellEnd"/>
            <w:r w:rsidRPr="00C17B02">
              <w:rPr>
                <w:rFonts w:eastAsia="Times New Roman" w:cs="Times New Roman"/>
                <w:color w:val="000000"/>
                <w:sz w:val="20"/>
                <w:szCs w:val="20"/>
                <w:lang w:eastAsia="lv-LV"/>
              </w:rPr>
              <w:t xml:space="preserve"> padeve – „drošās apkalpošanas funkcija”;</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103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.2</w:t>
            </w:r>
            <w:r>
              <w:rPr>
                <w:rFonts w:eastAsia="Times New Roman" w:cs="Times New Roman"/>
                <w:color w:val="000000"/>
                <w:sz w:val="20"/>
                <w:szCs w:val="20"/>
                <w:lang w:eastAsia="lv-LV"/>
              </w:rPr>
              <w:t>8</w:t>
            </w:r>
            <w:r w:rsidRPr="00C17B02">
              <w:rPr>
                <w:rFonts w:eastAsia="Times New Roman" w:cs="Times New Roman"/>
                <w:color w:val="000000"/>
                <w:sz w:val="20"/>
                <w:szCs w:val="20"/>
                <w:lang w:eastAsia="lv-LV"/>
              </w:rPr>
              <w:t>.2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konstrukcijā ir iestrādāts spiedienu izlīdzinošs mitruma/putekļu filtrs, kas novērš kondensāta veidošanos gaismekļa korpusā;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w:t>
            </w:r>
            <w:r>
              <w:rPr>
                <w:rFonts w:eastAsia="Times New Roman" w:cs="Times New Roman"/>
                <w:color w:val="000000"/>
                <w:sz w:val="20"/>
                <w:szCs w:val="20"/>
                <w:lang w:eastAsia="lv-LV"/>
              </w:rPr>
              <w:t>29</w:t>
            </w:r>
            <w:r w:rsidRPr="00C17B02">
              <w:rPr>
                <w:rFonts w:eastAsia="Times New Roman" w:cs="Times New Roman"/>
                <w:color w:val="000000"/>
                <w:sz w:val="20"/>
                <w:szCs w:val="20"/>
                <w:lang w:eastAsia="lv-LV"/>
              </w:rPr>
              <w:t>.</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Gaismekļu </w:t>
            </w:r>
            <w:proofErr w:type="spellStart"/>
            <w:r w:rsidRPr="00C17B02">
              <w:rPr>
                <w:rFonts w:eastAsia="Times New Roman" w:cs="Times New Roman"/>
                <w:color w:val="000000"/>
                <w:sz w:val="20"/>
                <w:szCs w:val="20"/>
                <w:lang w:eastAsia="lv-LV"/>
              </w:rPr>
              <w:t>ražotājrūpnīca</w:t>
            </w:r>
            <w:proofErr w:type="spellEnd"/>
            <w:r w:rsidRPr="00C17B02">
              <w:rPr>
                <w:rFonts w:eastAsia="Times New Roman" w:cs="Times New Roman"/>
                <w:color w:val="000000"/>
                <w:sz w:val="20"/>
                <w:szCs w:val="20"/>
                <w:lang w:eastAsia="lv-LV"/>
              </w:rPr>
              <w:t xml:space="preserve"> ir sertificēta atbilstoši standartiem, ne mazāk kā:</w:t>
            </w:r>
          </w:p>
        </w:tc>
        <w:tc>
          <w:tcPr>
            <w:tcW w:w="3840" w:type="dxa"/>
            <w:tcBorders>
              <w:top w:val="single" w:sz="4" w:space="0" w:color="000000"/>
              <w:left w:val="nil"/>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single" w:sz="4" w:space="0" w:color="000000"/>
              <w:left w:val="nil"/>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lastRenderedPageBreak/>
              <w:t>3</w:t>
            </w:r>
            <w:r w:rsidRPr="00C17B02">
              <w:rPr>
                <w:rFonts w:eastAsia="Times New Roman" w:cs="Times New Roman"/>
                <w:color w:val="000000"/>
                <w:sz w:val="20"/>
                <w:szCs w:val="20"/>
                <w:lang w:eastAsia="lv-LV"/>
              </w:rPr>
              <w:t>.</w:t>
            </w:r>
            <w:r>
              <w:rPr>
                <w:rFonts w:eastAsia="Times New Roman" w:cs="Times New Roman"/>
                <w:color w:val="000000"/>
                <w:sz w:val="20"/>
                <w:szCs w:val="20"/>
                <w:lang w:eastAsia="lv-LV"/>
              </w:rPr>
              <w:t>29</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kvalitātes vadības sistēma ISO9001 vai ekvivalents;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Gaismekļa atbilstība standartiem, ne sliktāk kā:</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.1</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IEC EN 60598-1: Gaismekļi, galvenās prasības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.2</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IEC EN 60598-2-3: Galvenās prasības ceļu un ielu gaismekļiem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.3</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55015: Robežas un mērīšanas metodes </w:t>
            </w:r>
            <w:proofErr w:type="spellStart"/>
            <w:r w:rsidRPr="00C17B02">
              <w:rPr>
                <w:rFonts w:eastAsia="Times New Roman" w:cs="Times New Roman"/>
                <w:color w:val="000000"/>
                <w:sz w:val="20"/>
                <w:szCs w:val="20"/>
                <w:lang w:eastAsia="lv-LV"/>
              </w:rPr>
              <w:t>radiotraucējumu</w:t>
            </w:r>
            <w:proofErr w:type="spellEnd"/>
            <w:r w:rsidRPr="00C17B02">
              <w:rPr>
                <w:rFonts w:eastAsia="Times New Roman" w:cs="Times New Roman"/>
                <w:color w:val="000000"/>
                <w:sz w:val="20"/>
                <w:szCs w:val="20"/>
                <w:lang w:eastAsia="lv-LV"/>
              </w:rPr>
              <w:t xml:space="preserve"> īpašību elektriskajām apgaismes ierīcēm un tamlīdzīgām iekārtām: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.4</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61547: Iekārtas vispārējās apgaismes mērķiem, stabilitātes prasības:</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.5</w:t>
            </w:r>
          </w:p>
        </w:tc>
        <w:tc>
          <w:tcPr>
            <w:tcW w:w="3840" w:type="dxa"/>
            <w:tcBorders>
              <w:top w:val="single" w:sz="4" w:space="0" w:color="000000"/>
              <w:left w:val="single" w:sz="4" w:space="0" w:color="000000"/>
              <w:bottom w:val="nil"/>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61000-3-2: Robežvērtības augstāko harmoniku emisijām (&lt;16A uz fāzi):</w:t>
            </w:r>
          </w:p>
        </w:tc>
        <w:tc>
          <w:tcPr>
            <w:tcW w:w="3840" w:type="dxa"/>
            <w:tcBorders>
              <w:top w:val="single" w:sz="4" w:space="0" w:color="000000"/>
              <w:left w:val="single" w:sz="4" w:space="0" w:color="000000"/>
              <w:bottom w:val="nil"/>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nil"/>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300"/>
        </w:trPr>
        <w:tc>
          <w:tcPr>
            <w:tcW w:w="98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p>
        </w:tc>
        <w:tc>
          <w:tcPr>
            <w:tcW w:w="3840" w:type="dxa"/>
            <w:tcBorders>
              <w:top w:val="nil"/>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w:t>
            </w:r>
          </w:p>
        </w:tc>
        <w:tc>
          <w:tcPr>
            <w:tcW w:w="3840" w:type="dxa"/>
            <w:tcBorders>
              <w:top w:val="nil"/>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p>
        </w:tc>
        <w:tc>
          <w:tcPr>
            <w:tcW w:w="5369" w:type="dxa"/>
            <w:tcBorders>
              <w:top w:val="nil"/>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.6</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61347-1: Vispārīgās un drošības prasības vadības blokiem: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780"/>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.7</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61347-2-13 (tikai LED): Īpašās prasības maiņstrāvas vai līdzstrāvas  elektronisko draiveru LED moduļiem: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w:t>
            </w:r>
            <w:r w:rsidRPr="00C17B02">
              <w:rPr>
                <w:rFonts w:eastAsia="Times New Roman" w:cs="Times New Roman"/>
                <w:color w:val="000000"/>
                <w:sz w:val="20"/>
                <w:szCs w:val="20"/>
                <w:lang w:eastAsia="lv-LV"/>
              </w:rPr>
              <w:t>.3</w:t>
            </w:r>
            <w:r>
              <w:rPr>
                <w:rFonts w:eastAsia="Times New Roman" w:cs="Times New Roman"/>
                <w:color w:val="000000"/>
                <w:sz w:val="20"/>
                <w:szCs w:val="20"/>
                <w:lang w:eastAsia="lv-LV"/>
              </w:rPr>
              <w:t>0</w:t>
            </w:r>
            <w:r w:rsidRPr="00C17B02">
              <w:rPr>
                <w:rFonts w:eastAsia="Times New Roman" w:cs="Times New Roman"/>
                <w:color w:val="000000"/>
                <w:sz w:val="20"/>
                <w:szCs w:val="20"/>
                <w:lang w:eastAsia="lv-LV"/>
              </w:rPr>
              <w:t>.8</w:t>
            </w:r>
          </w:p>
        </w:tc>
        <w:tc>
          <w:tcPr>
            <w:tcW w:w="3840" w:type="dxa"/>
            <w:tcBorders>
              <w:top w:val="single" w:sz="4" w:space="0" w:color="000000"/>
              <w:left w:val="single" w:sz="4" w:space="0" w:color="000000"/>
              <w:bottom w:val="single" w:sz="4" w:space="0" w:color="000000"/>
              <w:right w:val="nil"/>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 xml:space="preserve"> EN 62471: Foto bioloģiskā drošība lampām un lampu sistēmām:</w:t>
            </w:r>
          </w:p>
        </w:tc>
        <w:tc>
          <w:tcPr>
            <w:tcW w:w="3840" w:type="dxa"/>
            <w:tcBorders>
              <w:top w:val="single" w:sz="4" w:space="0" w:color="000000"/>
              <w:left w:val="single" w:sz="4" w:space="0" w:color="000000"/>
              <w:bottom w:val="single" w:sz="4" w:space="0" w:color="000000"/>
              <w:right w:val="single" w:sz="4" w:space="0" w:color="000000"/>
            </w:tcBorders>
            <w:vAlign w:val="bottom"/>
            <w:hideMark/>
          </w:tcPr>
          <w:p w:rsidR="005E2A12" w:rsidRPr="00C17B02" w:rsidRDefault="005E2A12" w:rsidP="005F5136">
            <w:pPr>
              <w:spacing w:after="0" w:line="240" w:lineRule="auto"/>
              <w:rPr>
                <w:rFonts w:eastAsia="Times New Roman" w:cs="Times New Roman"/>
                <w:color w:val="000000"/>
                <w:sz w:val="20"/>
                <w:szCs w:val="20"/>
                <w:lang w:eastAsia="lv-LV"/>
              </w:rPr>
            </w:pPr>
            <w:r w:rsidRPr="00C17B02">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r w:rsidR="005E2A12" w:rsidRPr="00CA65A4" w:rsidTr="005E2A12">
        <w:trPr>
          <w:trHeight w:val="525"/>
        </w:trPr>
        <w:tc>
          <w:tcPr>
            <w:tcW w:w="980" w:type="dxa"/>
            <w:tcBorders>
              <w:top w:val="single" w:sz="4" w:space="0" w:color="000000"/>
              <w:left w:val="single" w:sz="4" w:space="0" w:color="000000"/>
              <w:bottom w:val="single" w:sz="4" w:space="0" w:color="000000"/>
              <w:right w:val="nil"/>
            </w:tcBorders>
            <w:vAlign w:val="bottom"/>
          </w:tcPr>
          <w:p w:rsidR="005E2A12" w:rsidRDefault="005E2A12" w:rsidP="005F5136">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3.31.</w:t>
            </w:r>
          </w:p>
        </w:tc>
        <w:tc>
          <w:tcPr>
            <w:tcW w:w="3840" w:type="dxa"/>
            <w:tcBorders>
              <w:top w:val="single" w:sz="4" w:space="0" w:color="000000"/>
              <w:left w:val="single" w:sz="4" w:space="0" w:color="000000"/>
              <w:bottom w:val="single" w:sz="4" w:space="0" w:color="000000"/>
              <w:right w:val="nil"/>
            </w:tcBorders>
            <w:vAlign w:val="bottom"/>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ENEC sertifikāts</w:t>
            </w:r>
          </w:p>
        </w:tc>
        <w:tc>
          <w:tcPr>
            <w:tcW w:w="3840" w:type="dxa"/>
            <w:tcBorders>
              <w:top w:val="single" w:sz="4" w:space="0" w:color="000000"/>
              <w:left w:val="single" w:sz="4" w:space="0" w:color="000000"/>
              <w:bottom w:val="single" w:sz="4" w:space="0" w:color="000000"/>
              <w:right w:val="single" w:sz="4" w:space="0" w:color="000000"/>
            </w:tcBorders>
            <w:vAlign w:val="bottom"/>
          </w:tcPr>
          <w:p w:rsidR="005E2A12" w:rsidRPr="00C17B02" w:rsidRDefault="005E2A12" w:rsidP="005F5136">
            <w:pPr>
              <w:spacing w:after="0" w:line="240" w:lineRule="auto"/>
              <w:rPr>
                <w:rFonts w:eastAsia="Times New Roman" w:cs="Times New Roman"/>
                <w:color w:val="000000"/>
                <w:sz w:val="20"/>
                <w:szCs w:val="20"/>
                <w:lang w:eastAsia="lv-LV"/>
              </w:rPr>
            </w:pPr>
            <w:r>
              <w:rPr>
                <w:rFonts w:eastAsia="Times New Roman" w:cs="Times New Roman"/>
                <w:color w:val="000000"/>
                <w:sz w:val="20"/>
                <w:szCs w:val="20"/>
                <w:lang w:eastAsia="lv-LV"/>
              </w:rPr>
              <w:t>Jā</w:t>
            </w:r>
          </w:p>
        </w:tc>
        <w:tc>
          <w:tcPr>
            <w:tcW w:w="5369" w:type="dxa"/>
            <w:tcBorders>
              <w:top w:val="single" w:sz="4" w:space="0" w:color="000000"/>
              <w:left w:val="single" w:sz="4" w:space="0" w:color="000000"/>
              <w:bottom w:val="single" w:sz="4" w:space="0" w:color="000000"/>
              <w:right w:val="single" w:sz="4" w:space="0" w:color="000000"/>
            </w:tcBorders>
          </w:tcPr>
          <w:p w:rsidR="005E2A12" w:rsidRPr="00C17B02" w:rsidRDefault="005E2A12" w:rsidP="005F5136">
            <w:pPr>
              <w:spacing w:after="0" w:line="240" w:lineRule="auto"/>
              <w:rPr>
                <w:rFonts w:eastAsia="Times New Roman" w:cs="Times New Roman"/>
                <w:color w:val="000000"/>
                <w:sz w:val="20"/>
                <w:szCs w:val="20"/>
                <w:lang w:eastAsia="lv-LV"/>
              </w:rPr>
            </w:pPr>
          </w:p>
        </w:tc>
      </w:tr>
    </w:tbl>
    <w:p w:rsidR="005E2A12" w:rsidRDefault="005E2A12" w:rsidP="005E2A12"/>
    <w:p w:rsidR="007468F7" w:rsidRDefault="007468F7" w:rsidP="005E2A12"/>
    <w:p w:rsidR="007468F7" w:rsidRDefault="007468F7" w:rsidP="005E2A12">
      <w:bookmarkStart w:id="3" w:name="_GoBack"/>
      <w:bookmarkEnd w:id="3"/>
    </w:p>
    <w:p w:rsidR="005E2A12" w:rsidRPr="00754431" w:rsidRDefault="005E2A12" w:rsidP="005E2A12">
      <w:pPr>
        <w:pStyle w:val="ListParagraph"/>
        <w:numPr>
          <w:ilvl w:val="0"/>
          <w:numId w:val="2"/>
        </w:numPr>
        <w:rPr>
          <w:b/>
        </w:rPr>
      </w:pPr>
      <w:r w:rsidRPr="00754431">
        <w:rPr>
          <w:b/>
        </w:rPr>
        <w:lastRenderedPageBreak/>
        <w:t>Prasības:</w:t>
      </w:r>
    </w:p>
    <w:p w:rsidR="005E2A12" w:rsidRDefault="005E2A12" w:rsidP="005E2A12">
      <w:pPr>
        <w:pStyle w:val="ListParagraph"/>
        <w:ind w:left="644"/>
        <w:jc w:val="both"/>
      </w:pPr>
      <w:r>
        <w:t>Pretendents papildus iesniedz šādus dokumentus (latviešu valodā vai ar apliecinātu tulkojumu latviešu valodā) par gaismekļu atbilstību šādām prasībām:</w:t>
      </w:r>
    </w:p>
    <w:p w:rsidR="005E2A12" w:rsidRDefault="005E2A12" w:rsidP="005E2A12">
      <w:pPr>
        <w:pStyle w:val="ListParagraph"/>
        <w:numPr>
          <w:ilvl w:val="1"/>
          <w:numId w:val="3"/>
        </w:numPr>
        <w:jc w:val="both"/>
      </w:pPr>
      <w:r>
        <w:t>Gaismekļu ražotāja vai tā pilnvarotā pārstāvja izsniegtas piedāvāto gaismekļu CE atbilstības deklarācijas šādiem standartiem:</w:t>
      </w:r>
    </w:p>
    <w:p w:rsidR="005E2A12" w:rsidRDefault="005E2A12" w:rsidP="005E2A12">
      <w:pPr>
        <w:pStyle w:val="ListParagraph"/>
        <w:numPr>
          <w:ilvl w:val="0"/>
          <w:numId w:val="1"/>
        </w:numPr>
        <w:jc w:val="both"/>
      </w:pPr>
      <w:r>
        <w:t>LVS EN 55015:2013 (</w:t>
      </w:r>
      <w:proofErr w:type="spellStart"/>
      <w:r>
        <w:t>Elektroapgaismes</w:t>
      </w:r>
      <w:proofErr w:type="spellEnd"/>
      <w:r>
        <w:t xml:space="preserve"> ierīču un tamlīdzīgu iekārtu </w:t>
      </w:r>
      <w:proofErr w:type="spellStart"/>
      <w:r>
        <w:t>radiotraucējumu</w:t>
      </w:r>
      <w:proofErr w:type="spellEnd"/>
      <w:r>
        <w:t xml:space="preserve"> raksturlielumu robežvērtības un mērīšana)</w:t>
      </w:r>
    </w:p>
    <w:p w:rsidR="005E2A12" w:rsidRDefault="005E2A12" w:rsidP="005E2A12">
      <w:pPr>
        <w:pStyle w:val="ListParagraph"/>
        <w:numPr>
          <w:ilvl w:val="0"/>
          <w:numId w:val="1"/>
        </w:numPr>
        <w:jc w:val="both"/>
      </w:pPr>
      <w:r>
        <w:t>LVS EN 60598-2-3:2003 + A1:2011 (Gaismekļi. 2-3. daļa: Īpašās prasības. Gaismekļi ceļu un ielu apgaismei)</w:t>
      </w:r>
    </w:p>
    <w:p w:rsidR="005E2A12" w:rsidRDefault="005E2A12" w:rsidP="005E2A12">
      <w:pPr>
        <w:pStyle w:val="ListParagraph"/>
        <w:numPr>
          <w:ilvl w:val="0"/>
          <w:numId w:val="1"/>
        </w:numPr>
        <w:jc w:val="both"/>
      </w:pPr>
      <w:r>
        <w:t>LVS EN 60598-1:2009 + A11:2009 (Gaismekļi. 1. daļa: Vispārīgās prasības un testi)</w:t>
      </w:r>
    </w:p>
    <w:p w:rsidR="005E2A12" w:rsidRDefault="005E2A12" w:rsidP="005E2A12">
      <w:pPr>
        <w:pStyle w:val="ListParagraph"/>
        <w:numPr>
          <w:ilvl w:val="0"/>
          <w:numId w:val="1"/>
        </w:numPr>
        <w:jc w:val="both"/>
      </w:pPr>
      <w:r>
        <w:t>LVS EN 61000-3-2:2015 (</w:t>
      </w:r>
      <w:proofErr w:type="spellStart"/>
      <w:r>
        <w:t>Elekromagnētiskā</w:t>
      </w:r>
      <w:proofErr w:type="spellEnd"/>
      <w:r>
        <w:t xml:space="preserve"> saderība (EMS). 3-2.daļa: Robežvērtības. Augstāko harmoniku strāvu robežvērtības (iekārtu ieejas strāva ≤ 16 A uz fāzi) (IEC 61000-3-2:2014)</w:t>
      </w:r>
    </w:p>
    <w:p w:rsidR="005E2A12" w:rsidRDefault="005E2A12" w:rsidP="005E2A12">
      <w:pPr>
        <w:pStyle w:val="ListParagraph"/>
        <w:numPr>
          <w:ilvl w:val="0"/>
          <w:numId w:val="1"/>
        </w:numPr>
        <w:jc w:val="both"/>
      </w:pPr>
      <w:r>
        <w:t xml:space="preserve">LVS EN 61000-3-3:2013 (Elektromagnētiskā saderība (EMS). 3-3. daļa: Robežas. Sprieguma izmaiņu, sprieguma svārstību un mirgoņas ierobežošana publisko zemsprieguma elektroapgādes sistēmu iekārtām, kuru nominālā strāva ≤16 A uz fāzi un kurām nav īpašu </w:t>
      </w:r>
      <w:proofErr w:type="spellStart"/>
      <w:r>
        <w:t>pieslēguma</w:t>
      </w:r>
      <w:proofErr w:type="spellEnd"/>
      <w:r>
        <w:t xml:space="preserve"> nosacījumu (IEC 61000-3-3:2013))</w:t>
      </w:r>
    </w:p>
    <w:p w:rsidR="005E2A12" w:rsidRDefault="005E2A12" w:rsidP="005E2A12">
      <w:pPr>
        <w:pStyle w:val="ListParagraph"/>
        <w:numPr>
          <w:ilvl w:val="0"/>
          <w:numId w:val="1"/>
        </w:numPr>
        <w:jc w:val="both"/>
      </w:pPr>
      <w:r>
        <w:t>LVS EN 61347-2-13:2007 (Spuldžu vadības ierīces. 2-13.daļa: Īpašās prasības ar maiņstrāvu vai līdzstrāvu barojamiem LED moduļu elektroniskajiem regulatoriem)</w:t>
      </w:r>
    </w:p>
    <w:p w:rsidR="005E2A12" w:rsidRDefault="005E2A12" w:rsidP="005E2A12">
      <w:pPr>
        <w:pStyle w:val="ListParagraph"/>
        <w:numPr>
          <w:ilvl w:val="0"/>
          <w:numId w:val="1"/>
        </w:numPr>
        <w:jc w:val="both"/>
      </w:pPr>
      <w:r>
        <w:t xml:space="preserve">LVS EN 61547:2010 (Vispārīgās apgaismes ierīces. Elektromagnētiskās </w:t>
      </w:r>
      <w:proofErr w:type="spellStart"/>
      <w:r>
        <w:t>traucējumnoturības</w:t>
      </w:r>
      <w:proofErr w:type="spellEnd"/>
      <w:r>
        <w:t xml:space="preserve"> prasības (IEC 61547:2009));</w:t>
      </w:r>
    </w:p>
    <w:p w:rsidR="005E2A12" w:rsidRDefault="005E2A12" w:rsidP="005E2A12">
      <w:pPr>
        <w:pStyle w:val="ListParagraph"/>
        <w:numPr>
          <w:ilvl w:val="1"/>
          <w:numId w:val="3"/>
        </w:numPr>
        <w:jc w:val="both"/>
      </w:pPr>
      <w:r>
        <w:t>Sertificētas atbilstības izvērtēšanas iestādes apstiprinātus un izsniegtus gaismekļu IP un IK klases testu rezultātus (saskaņā ar attiecīgajiem standartiem EN 60598-1:2008 un EN 50102);</w:t>
      </w:r>
    </w:p>
    <w:p w:rsidR="005E2A12" w:rsidRDefault="005E2A12" w:rsidP="005E2A12">
      <w:pPr>
        <w:pStyle w:val="ListParagraph"/>
        <w:numPr>
          <w:ilvl w:val="1"/>
          <w:numId w:val="3"/>
        </w:numPr>
        <w:jc w:val="both"/>
      </w:pPr>
      <w:r>
        <w:t>Gaismekļu ražotāju rūpnīcas izsniegtas montāžas instrukcijas tulkotas latviešu valodā par katru gaismekļa modeli;</w:t>
      </w:r>
    </w:p>
    <w:p w:rsidR="005E2A12" w:rsidRDefault="005E2A12" w:rsidP="005E2A12">
      <w:pPr>
        <w:pStyle w:val="ListParagraph"/>
        <w:numPr>
          <w:ilvl w:val="1"/>
          <w:numId w:val="3"/>
        </w:numPr>
        <w:jc w:val="both"/>
      </w:pPr>
      <w:r>
        <w:t xml:space="preserve">Sertificētas atbilstības izvērtēšanas iestādes apstiprinātus un izsniegtus gaismekļu EMC, </w:t>
      </w:r>
      <w:proofErr w:type="spellStart"/>
      <w:r>
        <w:t>Shock</w:t>
      </w:r>
      <w:proofErr w:type="spellEnd"/>
      <w:r>
        <w:t xml:space="preserve"> un </w:t>
      </w:r>
      <w:proofErr w:type="spellStart"/>
      <w:r>
        <w:t>Vibration</w:t>
      </w:r>
      <w:proofErr w:type="spellEnd"/>
      <w:r>
        <w:t xml:space="preserve"> testa rezultātus; EMC testa rezultātos ir apstiprināta gaismekļu atbilstība LVS EN 55015:2013; LVS EN 61000-3-3:2013; LVS EN 61547:2010 un LVS EN 61000-3-2:2006 + A2:2009 standartiem;</w:t>
      </w:r>
    </w:p>
    <w:p w:rsidR="005E2A12" w:rsidRDefault="005E2A12" w:rsidP="005E2A12">
      <w:pPr>
        <w:pStyle w:val="ListParagraph"/>
        <w:numPr>
          <w:ilvl w:val="1"/>
          <w:numId w:val="3"/>
        </w:numPr>
        <w:jc w:val="both"/>
      </w:pPr>
      <w:r>
        <w:t>Sertificētas atbilstības izvērtēšanas iestādes apstiprinātu un izsniegtu gaismekļu ENEC atbilstības deklarāciju, kas apliecina gaismekļu atbilstību vismaz šādiem sekojošiem standartiem: EN 60598-1; EN 60598-2-3; EN 62471; EN 62031.</w:t>
      </w:r>
    </w:p>
    <w:p w:rsidR="005E2A12" w:rsidRDefault="005E2A12" w:rsidP="005E2A12">
      <w:pPr>
        <w:pStyle w:val="ListParagraph"/>
        <w:numPr>
          <w:ilvl w:val="1"/>
          <w:numId w:val="3"/>
        </w:numPr>
        <w:jc w:val="both"/>
      </w:pPr>
      <w:r>
        <w:t>Ražotāja rūpnīcas izsniegtas gaismekļu tehniskās specifikācijas datus tulkotus latviešu valodā par katru gaismekļa modeli;</w:t>
      </w:r>
    </w:p>
    <w:p w:rsidR="005E2A12" w:rsidRDefault="005E2A12" w:rsidP="005E2A12">
      <w:pPr>
        <w:pStyle w:val="ListParagraph"/>
        <w:numPr>
          <w:ilvl w:val="1"/>
          <w:numId w:val="3"/>
        </w:numPr>
        <w:jc w:val="both"/>
      </w:pPr>
      <w:r>
        <w:t xml:space="preserve">Piedāvāto gaismekļu gaismas aprēķinus katram gaismekļu modelim, kas izstrādāti </w:t>
      </w:r>
      <w:proofErr w:type="spellStart"/>
      <w:r>
        <w:t>Dialux</w:t>
      </w:r>
      <w:proofErr w:type="spellEnd"/>
      <w:r>
        <w:t xml:space="preserve"> vai </w:t>
      </w:r>
      <w:proofErr w:type="spellStart"/>
      <w:r>
        <w:t>Relux</w:t>
      </w:r>
      <w:proofErr w:type="spellEnd"/>
      <w:r>
        <w:t xml:space="preserve"> programmā (saglabāti un iesniegti .dlx vai .</w:t>
      </w:r>
      <w:proofErr w:type="spellStart"/>
      <w:r>
        <w:t>rdf</w:t>
      </w:r>
      <w:proofErr w:type="spellEnd"/>
      <w:r>
        <w:t xml:space="preserve"> formātā (iesniedz elektroniski) un papildus PDF formātā (pievienojot piedāvājumam), kas ļauj pārliecināties par piedāvāto gaismekļu atbilstību noteiktajai ceļu klasei. Pretendents, veicot aprēķinus, vērā ņem pielikumā pievienotos aprēķinu </w:t>
      </w:r>
      <w:proofErr w:type="spellStart"/>
      <w:r>
        <w:lastRenderedPageBreak/>
        <w:t>paraugfailos</w:t>
      </w:r>
      <w:proofErr w:type="spellEnd"/>
      <w:r>
        <w:t xml:space="preserve"> sniegtos datus. Pretendents nedrīkst mainīt nolikumam pievienotajos aprēķinu failos norādītos parametrus – drīkst tikai nomainīt </w:t>
      </w:r>
      <w:proofErr w:type="spellStart"/>
      <w:r>
        <w:t>paraugfailā</w:t>
      </w:r>
      <w:proofErr w:type="spellEnd"/>
      <w:r>
        <w:t xml:space="preserve"> esošo gaismekļu parauga </w:t>
      </w:r>
      <w:proofErr w:type="spellStart"/>
      <w:r>
        <w:t>fotometrisko</w:t>
      </w:r>
      <w:proofErr w:type="spellEnd"/>
      <w:r>
        <w:t xml:space="preserve"> failu ar piedāvātā gaismekļa modeļa </w:t>
      </w:r>
      <w:proofErr w:type="spellStart"/>
      <w:r>
        <w:t>fotometrisko</w:t>
      </w:r>
      <w:proofErr w:type="spellEnd"/>
      <w:r>
        <w:t xml:space="preserve"> failu.</w:t>
      </w:r>
    </w:p>
    <w:p w:rsidR="005E2A12" w:rsidRDefault="005E2A12" w:rsidP="005E2A12">
      <w:pPr>
        <w:pStyle w:val="ListParagraph"/>
        <w:numPr>
          <w:ilvl w:val="1"/>
          <w:numId w:val="3"/>
        </w:numPr>
        <w:jc w:val="both"/>
      </w:pPr>
      <w:r>
        <w:t xml:space="preserve">Apgaismojuma </w:t>
      </w:r>
      <w:proofErr w:type="spellStart"/>
      <w:r>
        <w:t>fotometriskos</w:t>
      </w:r>
      <w:proofErr w:type="spellEnd"/>
      <w:r>
        <w:t xml:space="preserve"> failus (saglabāti .</w:t>
      </w:r>
      <w:proofErr w:type="spellStart"/>
      <w:r>
        <w:t>ldt</w:t>
      </w:r>
      <w:proofErr w:type="spellEnd"/>
      <w:r>
        <w:t xml:space="preserve"> vai .ies formātā, iesniedz elektroniski)  katram gaismekļa modelim;</w:t>
      </w:r>
    </w:p>
    <w:p w:rsidR="005E2A12" w:rsidRDefault="005E2A12" w:rsidP="005E2A12">
      <w:pPr>
        <w:pStyle w:val="ListParagraph"/>
        <w:numPr>
          <w:ilvl w:val="1"/>
          <w:numId w:val="3"/>
        </w:numPr>
        <w:jc w:val="both"/>
      </w:pPr>
      <w:r>
        <w:t>Gaismekļu LM 79 un TM 21 testa protokolus (katram piedāvātajam modelim);</w:t>
      </w:r>
    </w:p>
    <w:p w:rsidR="005E2A12" w:rsidRDefault="005E2A12" w:rsidP="005E2A12">
      <w:pPr>
        <w:pStyle w:val="ListParagraph"/>
        <w:numPr>
          <w:ilvl w:val="1"/>
          <w:numId w:val="3"/>
        </w:numPr>
        <w:ind w:left="1560" w:hanging="480"/>
        <w:jc w:val="both"/>
      </w:pPr>
      <w:r>
        <w:t xml:space="preserve">Sertificētas atbilstības izvērtēšanas iestādes apstiprinātu un izsniegtu sertifikātu par gaismekļu atbilstību </w:t>
      </w:r>
      <w:proofErr w:type="spellStart"/>
      <w:r>
        <w:t>RoHS</w:t>
      </w:r>
      <w:proofErr w:type="spellEnd"/>
      <w:r>
        <w:t xml:space="preserve"> direktīvai (ES direktīva Nr. 2011/65/EU);</w:t>
      </w:r>
    </w:p>
    <w:p w:rsidR="005E2A12" w:rsidRDefault="005E2A12" w:rsidP="005E2A12">
      <w:pPr>
        <w:pStyle w:val="ListParagraph"/>
        <w:numPr>
          <w:ilvl w:val="1"/>
          <w:numId w:val="3"/>
        </w:numPr>
        <w:ind w:left="1560" w:hanging="480"/>
        <w:jc w:val="both"/>
      </w:pPr>
      <w:r>
        <w:t>Gaismekļu ražotāja rūpnīcas izsniegtu apliecinājumu, ka pretendentam būs pieejami šajā nolikumā norādītie gaismekļi nepieciešamajā apjomā un līguma izpildes termiņā, lai izpildītu prasības, kas noteiktas šajā nolikumā, un gaismekļu ražotāja rūpnīca nepieciešamības gadījumā piegādās pretendentam papildus nepieciešamos gaismekļus;</w:t>
      </w:r>
    </w:p>
    <w:p w:rsidR="005E2A12" w:rsidRDefault="005E2A12" w:rsidP="005E2A12">
      <w:pPr>
        <w:pStyle w:val="ListParagraph"/>
        <w:numPr>
          <w:ilvl w:val="1"/>
          <w:numId w:val="3"/>
        </w:numPr>
        <w:tabs>
          <w:tab w:val="left" w:pos="1560"/>
        </w:tabs>
        <w:jc w:val="both"/>
      </w:pPr>
      <w:r>
        <w:t>Pretendenta apliecinājums, ka gaismekļu garantijas termiņš nav īsāks par 5 (pieciem) gadiem un darbu kvalitātes garantija ir 2 (divi) gadi no pieņemšanas – nodošanas akta abpusējas parakstīšanas brīža.</w:t>
      </w:r>
    </w:p>
    <w:p w:rsidR="005E2A12" w:rsidRPr="00CF2A04" w:rsidRDefault="005E2A12" w:rsidP="005E2A12">
      <w:pPr>
        <w:suppressAutoHyphens/>
        <w:autoSpaceDN w:val="0"/>
        <w:spacing w:after="200" w:line="276" w:lineRule="auto"/>
        <w:textAlignment w:val="baseline"/>
        <w:rPr>
          <w:rFonts w:eastAsia="Calibri" w:cs="Times New Roman"/>
          <w:sz w:val="22"/>
        </w:rPr>
      </w:pPr>
      <w:r w:rsidRPr="00CF2A04">
        <w:rPr>
          <w:rFonts w:eastAsia="Calibri" w:cs="Times New Roman"/>
          <w:sz w:val="22"/>
        </w:rPr>
        <w:t>Nodrošina visu Tehniskajā specifikācijā izvirzīto prasību izpildi.</w:t>
      </w:r>
    </w:p>
    <w:p w:rsidR="005E2A12" w:rsidRPr="00CF2A04" w:rsidRDefault="005E2A12" w:rsidP="005E2A12">
      <w:pPr>
        <w:suppressAutoHyphens/>
        <w:autoSpaceDN w:val="0"/>
        <w:spacing w:after="200" w:line="276" w:lineRule="auto"/>
        <w:textAlignment w:val="baseline"/>
        <w:rPr>
          <w:rFonts w:eastAsia="Calibri" w:cs="Times New Roman"/>
          <w:sz w:val="22"/>
        </w:rPr>
      </w:pPr>
      <w:r w:rsidRPr="00CF2A04">
        <w:rPr>
          <w:rFonts w:eastAsia="Calibri" w:cs="Times New Roman"/>
          <w:sz w:val="22"/>
        </w:rPr>
        <w:t>201</w:t>
      </w:r>
      <w:r>
        <w:rPr>
          <w:rFonts w:eastAsia="Calibri" w:cs="Times New Roman"/>
          <w:sz w:val="22"/>
        </w:rPr>
        <w:t>8</w:t>
      </w:r>
      <w:r w:rsidRPr="00CF2A04">
        <w:rPr>
          <w:rFonts w:eastAsia="Calibri" w:cs="Times New Roman"/>
          <w:sz w:val="22"/>
        </w:rPr>
        <w:t>.gada __.______________</w:t>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p>
    <w:p w:rsidR="005E2A12" w:rsidRDefault="005E2A12" w:rsidP="005E2A12">
      <w:pPr>
        <w:suppressAutoHyphens/>
        <w:autoSpaceDN w:val="0"/>
        <w:spacing w:after="0" w:line="240" w:lineRule="auto"/>
        <w:textAlignment w:val="baseline"/>
        <w:rPr>
          <w:rFonts w:eastAsia="Calibri" w:cs="Times New Roman"/>
          <w:sz w:val="22"/>
        </w:rPr>
      </w:pP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t>_________________________________________________________</w:t>
      </w:r>
      <w:r w:rsidRPr="00CF2A04">
        <w:rPr>
          <w:rFonts w:eastAsia="Calibri" w:cs="Times New Roman"/>
          <w:sz w:val="22"/>
        </w:rPr>
        <w:tab/>
      </w:r>
      <w:r w:rsidRPr="00CF2A04">
        <w:rPr>
          <w:rFonts w:eastAsia="Calibri" w:cs="Times New Roman"/>
          <w:sz w:val="22"/>
        </w:rPr>
        <w:tab/>
      </w:r>
      <w:r w:rsidRPr="00CF2A04">
        <w:rPr>
          <w:rFonts w:eastAsia="Calibri" w:cs="Times New Roman"/>
          <w:sz w:val="22"/>
        </w:rPr>
        <w:tab/>
      </w:r>
    </w:p>
    <w:p w:rsidR="00CC795D" w:rsidRDefault="005E2A12" w:rsidP="005E2A12">
      <w:r>
        <w:rPr>
          <w:rFonts w:eastAsia="Calibri" w:cs="Times New Roman"/>
          <w:sz w:val="22"/>
        </w:rPr>
        <w:t xml:space="preserve">                                                                                             </w:t>
      </w:r>
      <w:r w:rsidRPr="00CF2A04">
        <w:rPr>
          <w:rFonts w:eastAsia="Calibri" w:cs="Times New Roman"/>
          <w:sz w:val="18"/>
          <w:szCs w:val="18"/>
        </w:rPr>
        <w:t>uzņēmuma vadītāja vai tā pilnvarotās personas paraksts, atšifrējums</w:t>
      </w:r>
    </w:p>
    <w:sectPr w:rsidR="00CC795D" w:rsidSect="005E2A1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200D9"/>
    <w:multiLevelType w:val="multilevel"/>
    <w:tmpl w:val="62D02DE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52204BB9"/>
    <w:multiLevelType w:val="hybridMultilevel"/>
    <w:tmpl w:val="45008C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38636AD"/>
    <w:multiLevelType w:val="hybridMultilevel"/>
    <w:tmpl w:val="9BF82262"/>
    <w:lvl w:ilvl="0" w:tplc="4F42265A">
      <w:start w:val="1"/>
      <w:numFmt w:val="decimal"/>
      <w:lvlText w:val="%1."/>
      <w:lvlJc w:val="left"/>
      <w:pPr>
        <w:ind w:left="720" w:hanging="360"/>
      </w:pPr>
      <w:rPr>
        <w:rFonts w:hint="default"/>
        <w:b/>
      </w:rPr>
    </w:lvl>
    <w:lvl w:ilvl="1" w:tplc="B9989E0C">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2"/>
    <w:rsid w:val="005E2A12"/>
    <w:rsid w:val="007468F7"/>
    <w:rsid w:val="008634B6"/>
    <w:rsid w:val="00CC795D"/>
    <w:rsid w:val="00DB0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67F0"/>
  <w15:chartTrackingRefBased/>
  <w15:docId w15:val="{02344FBC-A4E8-49B9-9F39-8750D661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12"/>
    <w:pPr>
      <w:ind w:left="720"/>
      <w:contextualSpacing/>
    </w:pPr>
  </w:style>
  <w:style w:type="paragraph" w:customStyle="1" w:styleId="Default">
    <w:name w:val="Default"/>
    <w:uiPriority w:val="99"/>
    <w:rsid w:val="005E2A1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5373</Words>
  <Characters>3063</Characters>
  <Application>Microsoft Office Word</Application>
  <DocSecurity>0</DocSecurity>
  <Lines>25</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3</cp:revision>
  <dcterms:created xsi:type="dcterms:W3CDTF">2018-05-30T08:21:00Z</dcterms:created>
  <dcterms:modified xsi:type="dcterms:W3CDTF">2018-05-30T08:22:00Z</dcterms:modified>
</cp:coreProperties>
</file>