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485CA" w14:textId="77777777" w:rsidR="00AA578E" w:rsidRDefault="006952FE">
      <w:pPr>
        <w:spacing w:after="0"/>
        <w:jc w:val="right"/>
        <w:rPr>
          <w:rFonts w:ascii="Times New Roman" w:hAnsi="Times New Roman"/>
        </w:rPr>
      </w:pPr>
      <w:bookmarkStart w:id="0" w:name="_GoBack"/>
      <w:bookmarkEnd w:id="0"/>
      <w:r>
        <w:rPr>
          <w:rFonts w:ascii="Times New Roman" w:hAnsi="Times New Roman"/>
        </w:rPr>
        <w:t>Iepirkuma “Energoresursu pārvaldības nodrošināšana.</w:t>
      </w:r>
    </w:p>
    <w:p w14:paraId="704D674E" w14:textId="77777777" w:rsidR="00AA578E" w:rsidRDefault="006952FE">
      <w:pPr>
        <w:spacing w:after="0"/>
        <w:jc w:val="right"/>
        <w:rPr>
          <w:rFonts w:ascii="Times New Roman" w:hAnsi="Times New Roman"/>
        </w:rPr>
      </w:pPr>
      <w:r>
        <w:rPr>
          <w:rFonts w:ascii="Times New Roman" w:hAnsi="Times New Roman"/>
        </w:rPr>
        <w:t xml:space="preserve"> (Elektrības, ūdens, siltuma skaitītāju uzstādīšana </w:t>
      </w:r>
    </w:p>
    <w:p w14:paraId="6480FBC4" w14:textId="77777777" w:rsidR="00AA578E" w:rsidRDefault="006952FE">
      <w:pPr>
        <w:spacing w:after="0"/>
        <w:jc w:val="right"/>
        <w:rPr>
          <w:rFonts w:ascii="Times New Roman" w:hAnsi="Times New Roman"/>
        </w:rPr>
      </w:pPr>
      <w:r>
        <w:rPr>
          <w:rFonts w:ascii="Times New Roman" w:hAnsi="Times New Roman"/>
        </w:rPr>
        <w:t>ēku korpusu ievados. BMS pieslēgums Elektrības,</w:t>
      </w:r>
    </w:p>
    <w:p w14:paraId="434785B7" w14:textId="77777777" w:rsidR="00AA578E" w:rsidRDefault="006952FE">
      <w:pPr>
        <w:spacing w:after="0"/>
        <w:jc w:val="right"/>
        <w:rPr>
          <w:rFonts w:ascii="Times New Roman" w:hAnsi="Times New Roman"/>
        </w:rPr>
      </w:pPr>
      <w:r>
        <w:rPr>
          <w:rFonts w:ascii="Times New Roman" w:hAnsi="Times New Roman"/>
        </w:rPr>
        <w:t xml:space="preserve"> siltuma un ūdens skaitītājiem (Attālinātā nolasīšana)).”</w:t>
      </w:r>
    </w:p>
    <w:p w14:paraId="29E18C75" w14:textId="77777777" w:rsidR="00AA578E" w:rsidRDefault="00AA578E">
      <w:pPr>
        <w:spacing w:after="0"/>
        <w:jc w:val="right"/>
        <w:rPr>
          <w:rFonts w:ascii="Times New Roman" w:hAnsi="Times New Roman"/>
        </w:rPr>
      </w:pPr>
    </w:p>
    <w:p w14:paraId="4CD62936" w14:textId="77777777" w:rsidR="00AA578E" w:rsidRDefault="006952FE">
      <w:pPr>
        <w:spacing w:after="0"/>
        <w:jc w:val="right"/>
        <w:rPr>
          <w:rFonts w:ascii="Times New Roman" w:hAnsi="Times New Roman"/>
        </w:rPr>
      </w:pPr>
      <w:r>
        <w:rPr>
          <w:rFonts w:ascii="Times New Roman" w:hAnsi="Times New Roman"/>
        </w:rPr>
        <w:t xml:space="preserve">(ID Nr. VSIA “Paula Stradiņa Klīniskās </w:t>
      </w:r>
    </w:p>
    <w:p w14:paraId="4EF7EC1C" w14:textId="77777777" w:rsidR="00AA578E" w:rsidRDefault="006952FE">
      <w:pPr>
        <w:spacing w:after="0"/>
        <w:jc w:val="right"/>
        <w:rPr>
          <w:rFonts w:ascii="Times New Roman" w:hAnsi="Times New Roman"/>
        </w:rPr>
      </w:pPr>
      <w:r>
        <w:rPr>
          <w:rFonts w:ascii="Times New Roman" w:hAnsi="Times New Roman"/>
        </w:rPr>
        <w:t>Universitātes slimnīca” 2022/_____)</w:t>
      </w:r>
    </w:p>
    <w:p w14:paraId="1829D2CE" w14:textId="77777777" w:rsidR="00AA578E" w:rsidRDefault="006952FE">
      <w:pPr>
        <w:jc w:val="right"/>
        <w:rPr>
          <w:rFonts w:ascii="Times New Roman" w:hAnsi="Times New Roman"/>
        </w:rPr>
      </w:pPr>
      <w:r>
        <w:rPr>
          <w:rFonts w:ascii="Times New Roman" w:hAnsi="Times New Roman"/>
        </w:rPr>
        <w:t>NOLIKUMAM</w:t>
      </w:r>
    </w:p>
    <w:p w14:paraId="1788DA24" w14:textId="77777777" w:rsidR="00AA578E" w:rsidRDefault="006952FE">
      <w:pPr>
        <w:spacing w:after="0"/>
        <w:jc w:val="center"/>
        <w:rPr>
          <w:rFonts w:ascii="Times New Roman" w:hAnsi="Times New Roman"/>
          <w:b/>
          <w:iCs/>
          <w:sz w:val="24"/>
          <w:szCs w:val="24"/>
        </w:rPr>
      </w:pPr>
      <w:r>
        <w:rPr>
          <w:rFonts w:ascii="Times New Roman" w:hAnsi="Times New Roman"/>
          <w:b/>
          <w:iCs/>
          <w:sz w:val="24"/>
          <w:szCs w:val="24"/>
        </w:rPr>
        <w:t>TEHNISKĀ SPECIFIKĀCIJA</w:t>
      </w:r>
    </w:p>
    <w:p w14:paraId="78255E7B" w14:textId="77777777" w:rsidR="00AA578E" w:rsidRDefault="006952FE">
      <w:pPr>
        <w:numPr>
          <w:ilvl w:val="0"/>
          <w:numId w:val="1"/>
        </w:numPr>
        <w:suppressAutoHyphens w:val="0"/>
        <w:spacing w:after="0"/>
        <w:ind w:left="284" w:hanging="284"/>
        <w:jc w:val="both"/>
        <w:textAlignment w:val="auto"/>
      </w:pPr>
      <w:r>
        <w:rPr>
          <w:rFonts w:ascii="Times New Roman" w:eastAsia="Times New Roman" w:hAnsi="Times New Roman"/>
          <w:b/>
          <w:sz w:val="24"/>
          <w:szCs w:val="24"/>
        </w:rPr>
        <w:t xml:space="preserve">Objekts: </w:t>
      </w:r>
      <w:r>
        <w:rPr>
          <w:rFonts w:ascii="Times New Roman" w:eastAsia="Times New Roman" w:hAnsi="Times New Roman"/>
          <w:sz w:val="24"/>
          <w:szCs w:val="24"/>
        </w:rPr>
        <w:t>Pasūtītāja pārvaldībā vai valdījumā esošie nekustamie īpašumi Rīgā, Pilsoņu ielā 13.</w:t>
      </w:r>
    </w:p>
    <w:p w14:paraId="4CA698DB" w14:textId="77777777" w:rsidR="00AA578E" w:rsidRDefault="006952FE">
      <w:pPr>
        <w:spacing w:after="0"/>
        <w:jc w:val="both"/>
      </w:pPr>
      <w:r>
        <w:rPr>
          <w:rFonts w:ascii="Times New Roman" w:eastAsia="Times New Roman" w:hAnsi="Times New Roman"/>
          <w:b/>
          <w:bCs/>
          <w:sz w:val="24"/>
          <w:szCs w:val="24"/>
        </w:rPr>
        <w:t>Izpildītājs:</w:t>
      </w:r>
      <w:r>
        <w:rPr>
          <w:rFonts w:ascii="Times New Roman" w:eastAsia="Times New Roman" w:hAnsi="Times New Roman"/>
          <w:sz w:val="24"/>
          <w:szCs w:val="24"/>
        </w:rPr>
        <w:t xml:space="preserve"> uzņēmējs, kurš apņemas veikt </w:t>
      </w:r>
      <w:r>
        <w:rPr>
          <w:rFonts w:ascii="Times New Roman" w:hAnsi="Times New Roman"/>
        </w:rPr>
        <w:t>“Energoresursu pārvaldības nodrošināšana.</w:t>
      </w:r>
      <w:r>
        <w:rPr>
          <w:rFonts w:ascii="Times New Roman" w:eastAsia="Times New Roman" w:hAnsi="Times New Roman"/>
          <w:sz w:val="24"/>
          <w:szCs w:val="24"/>
        </w:rPr>
        <w:t xml:space="preserve"> </w:t>
      </w:r>
      <w:r>
        <w:rPr>
          <w:rFonts w:ascii="Times New Roman" w:hAnsi="Times New Roman"/>
        </w:rPr>
        <w:t xml:space="preserve">Elektrības, ūdens, siltuma skaitītāju uzstādīšana ēku korpusu ievados. BMS pieslēgums Elektrības, siltuma un ūdens skaitītājiem (Attālinātā nolasīšana)).” </w:t>
      </w:r>
      <w:r>
        <w:rPr>
          <w:rFonts w:ascii="Times New Roman" w:eastAsia="Times New Roman" w:hAnsi="Times New Roman"/>
          <w:sz w:val="24"/>
          <w:szCs w:val="24"/>
        </w:rPr>
        <w:t>saskaņā  ar šo tehnisko specifikāciju.</w:t>
      </w:r>
    </w:p>
    <w:p w14:paraId="2E42F349" w14:textId="77777777" w:rsidR="00AA578E" w:rsidRDefault="006952FE">
      <w:pPr>
        <w:spacing w:after="0"/>
        <w:jc w:val="both"/>
      </w:pPr>
      <w:r>
        <w:rPr>
          <w:rFonts w:ascii="Times New Roman" w:eastAsia="Times New Roman" w:hAnsi="Times New Roman"/>
          <w:sz w:val="24"/>
          <w:szCs w:val="24"/>
        </w:rPr>
        <w:tab/>
      </w:r>
      <w:r>
        <w:rPr>
          <w:rFonts w:ascii="Times New Roman" w:eastAsia="Times New Roman" w:hAnsi="Times New Roman"/>
          <w:sz w:val="24"/>
          <w:szCs w:val="24"/>
          <w:shd w:val="clear" w:color="auto" w:fill="FFFF00"/>
        </w:rPr>
        <w:t>Iepirkums tiek paredzēts divās daļās: 2022. gads -  skaitītāju uzstādīšana. 2023. gads -  pieslēgums BMS sistēmām</w:t>
      </w:r>
    </w:p>
    <w:p w14:paraId="597BF64F" w14:textId="77777777" w:rsidR="00AA578E" w:rsidRDefault="006952FE">
      <w:pPr>
        <w:jc w:val="both"/>
      </w:pPr>
      <w:r>
        <w:rPr>
          <w:rFonts w:ascii="Times New Roman" w:eastAsia="Times New Roman" w:hAnsi="Times New Roman"/>
          <w:sz w:val="24"/>
          <w:szCs w:val="24"/>
        </w:rPr>
        <w:tab/>
      </w:r>
      <w:r>
        <w:rPr>
          <w:rFonts w:ascii="Times New Roman" w:hAnsi="Times New Roman"/>
          <w:b/>
          <w:bCs/>
          <w:sz w:val="24"/>
          <w:szCs w:val="24"/>
        </w:rPr>
        <w:t>(Enerģijas un ūdens uzskaites sistēmas paredzētas pieslēgt esošajai slimnīcas VAS sistēmai – Centaline Arena NX.).</w:t>
      </w:r>
    </w:p>
    <w:p w14:paraId="03A516C9" w14:textId="77777777" w:rsidR="00AA578E" w:rsidRDefault="006952FE">
      <w:pPr>
        <w:jc w:val="both"/>
        <w:rPr>
          <w:rFonts w:ascii="Times New Roman" w:hAnsi="Times New Roman"/>
          <w:b/>
          <w:bCs/>
          <w:sz w:val="24"/>
          <w:szCs w:val="24"/>
        </w:rPr>
      </w:pPr>
      <w:r>
        <w:rPr>
          <w:rFonts w:ascii="Times New Roman" w:hAnsi="Times New Roman"/>
          <w:b/>
          <w:bCs/>
          <w:sz w:val="24"/>
          <w:szCs w:val="24"/>
        </w:rPr>
        <w:t>Pakalpojuma sniedzējiem jāveic Objektu apsekošana klātienē un jāpiedāvā Optimālākie  skaitītāji  atbilstoši tehniskajiem raksturlielumiem.</w:t>
      </w:r>
    </w:p>
    <w:p w14:paraId="6F67C794" w14:textId="77777777" w:rsidR="00AA578E" w:rsidRDefault="006952FE">
      <w:pPr>
        <w:pStyle w:val="ListParagraph"/>
        <w:numPr>
          <w:ilvl w:val="0"/>
          <w:numId w:val="2"/>
        </w:numPr>
        <w:spacing w:after="160" w:line="242" w:lineRule="auto"/>
        <w:rPr>
          <w:rFonts w:ascii="Times New Roman" w:eastAsia="Times New Roman" w:hAnsi="Times New Roman"/>
          <w:sz w:val="24"/>
          <w:szCs w:val="24"/>
        </w:rPr>
      </w:pPr>
      <w:r>
        <w:rPr>
          <w:rFonts w:ascii="Times New Roman" w:eastAsia="Times New Roman" w:hAnsi="Times New Roman"/>
          <w:sz w:val="24"/>
          <w:szCs w:val="24"/>
        </w:rPr>
        <w:lastRenderedPageBreak/>
        <w:t>Vismaz viens sertificēts  speciālists ar:</w:t>
      </w:r>
    </w:p>
    <w:p w14:paraId="7B605932" w14:textId="77777777" w:rsidR="00AA578E" w:rsidRDefault="006952FE">
      <w:pPr>
        <w:pStyle w:val="ListParagraph"/>
        <w:numPr>
          <w:ilvl w:val="0"/>
          <w:numId w:val="3"/>
        </w:numPr>
        <w:spacing w:after="160" w:line="242" w:lineRule="auto"/>
        <w:rPr>
          <w:rFonts w:ascii="Times New Roman" w:eastAsia="Times New Roman" w:hAnsi="Times New Roman"/>
          <w:sz w:val="24"/>
          <w:szCs w:val="24"/>
        </w:rPr>
      </w:pPr>
      <w:r>
        <w:rPr>
          <w:rFonts w:ascii="Times New Roman" w:eastAsia="Times New Roman" w:hAnsi="Times New Roman"/>
          <w:sz w:val="24"/>
          <w:szCs w:val="24"/>
        </w:rPr>
        <w:t xml:space="preserve">Kompetenci elektroietaišu izbūvē: Ēku elektroinstalācija līdz 1kV. </w:t>
      </w:r>
    </w:p>
    <w:p w14:paraId="3A4ACAAD" w14:textId="77777777" w:rsidR="00AA578E" w:rsidRDefault="006952FE">
      <w:pPr>
        <w:pStyle w:val="ListParagraph"/>
        <w:numPr>
          <w:ilvl w:val="0"/>
          <w:numId w:val="3"/>
        </w:numPr>
        <w:spacing w:after="160" w:line="242" w:lineRule="auto"/>
        <w:rPr>
          <w:rFonts w:ascii="Times New Roman" w:eastAsia="Times New Roman" w:hAnsi="Times New Roman"/>
          <w:sz w:val="24"/>
          <w:szCs w:val="24"/>
        </w:rPr>
      </w:pPr>
      <w:r>
        <w:rPr>
          <w:rFonts w:ascii="Times New Roman" w:eastAsia="Times New Roman" w:hAnsi="Times New Roman"/>
          <w:sz w:val="24"/>
          <w:szCs w:val="24"/>
        </w:rPr>
        <w:t xml:space="preserve">Elektroietaišu tehnisko parametru mērīšanas un pārbaude: Ēku elektroinstalācija līdz 1kV. </w:t>
      </w:r>
    </w:p>
    <w:p w14:paraId="624E1DE5" w14:textId="77777777" w:rsidR="00AA578E" w:rsidRDefault="006952FE">
      <w:pPr>
        <w:pStyle w:val="ListParagraph"/>
        <w:spacing w:after="160" w:line="242" w:lineRule="auto"/>
        <w:ind w:left="1080"/>
        <w:rPr>
          <w:rFonts w:ascii="Times New Roman" w:eastAsia="Times New Roman" w:hAnsi="Times New Roman"/>
          <w:sz w:val="24"/>
          <w:szCs w:val="24"/>
        </w:rPr>
      </w:pPr>
      <w:r>
        <w:rPr>
          <w:rFonts w:ascii="Times New Roman" w:eastAsia="Times New Roman" w:hAnsi="Times New Roman"/>
          <w:sz w:val="24"/>
          <w:szCs w:val="24"/>
        </w:rPr>
        <w:t>Jāiesniedz akreditētas institūcijas izsniegtu sertifkātu kopijas.</w:t>
      </w:r>
    </w:p>
    <w:p w14:paraId="69DDCC3B" w14:textId="77777777" w:rsidR="00AA578E" w:rsidRDefault="006952FE">
      <w:pPr>
        <w:pStyle w:val="ListParagraph"/>
        <w:numPr>
          <w:ilvl w:val="0"/>
          <w:numId w:val="2"/>
        </w:numPr>
        <w:spacing w:after="160" w:line="244" w:lineRule="auto"/>
      </w:pPr>
      <w:r>
        <w:rPr>
          <w:rFonts w:ascii="Times New Roman" w:eastAsia="Times New Roman" w:hAnsi="Times New Roman"/>
          <w:sz w:val="24"/>
          <w:szCs w:val="24"/>
        </w:rPr>
        <w:t>Vismaz viens sertificēts Sanitārtehnisko iekārtu montētājs.</w:t>
      </w:r>
      <w:r>
        <w:t xml:space="preserve"> </w:t>
      </w:r>
      <w:r>
        <w:rPr>
          <w:rFonts w:ascii="Times New Roman" w:eastAsia="Times New Roman" w:hAnsi="Times New Roman"/>
          <w:sz w:val="24"/>
          <w:szCs w:val="24"/>
        </w:rPr>
        <w:t>Jāiesniedz akreditētas institūcijas izsniegtu apliecību kopijas.</w:t>
      </w:r>
    </w:p>
    <w:p w14:paraId="7CF0DECD" w14:textId="77777777" w:rsidR="00AA578E" w:rsidRDefault="006952FE">
      <w:pPr>
        <w:pStyle w:val="ListParagraph"/>
        <w:numPr>
          <w:ilvl w:val="0"/>
          <w:numId w:val="2"/>
        </w:numPr>
        <w:spacing w:after="160" w:line="242" w:lineRule="auto"/>
        <w:rPr>
          <w:rFonts w:ascii="Times New Roman" w:eastAsia="Times New Roman" w:hAnsi="Times New Roman"/>
          <w:sz w:val="24"/>
          <w:szCs w:val="24"/>
        </w:rPr>
      </w:pPr>
      <w:r>
        <w:rPr>
          <w:rFonts w:ascii="Times New Roman" w:eastAsia="Times New Roman" w:hAnsi="Times New Roman"/>
          <w:sz w:val="24"/>
          <w:szCs w:val="24"/>
        </w:rPr>
        <w:t>Iemaņas darbam ar Centraine Honeywell NX platformas iekārtām, t.i. kontrolieri un vizualizācija</w:t>
      </w:r>
    </w:p>
    <w:p w14:paraId="3FA069D7" w14:textId="77777777" w:rsidR="00AA578E" w:rsidRDefault="006952FE">
      <w:pPr>
        <w:pStyle w:val="ListParagraph"/>
        <w:numPr>
          <w:ilvl w:val="0"/>
          <w:numId w:val="2"/>
        </w:numPr>
        <w:spacing w:after="160" w:line="242" w:lineRule="auto"/>
        <w:rPr>
          <w:rFonts w:ascii="Times New Roman" w:hAnsi="Times New Roman"/>
          <w:sz w:val="24"/>
          <w:szCs w:val="24"/>
        </w:rPr>
      </w:pPr>
      <w:r>
        <w:rPr>
          <w:rFonts w:ascii="Times New Roman" w:hAnsi="Times New Roman"/>
          <w:sz w:val="24"/>
          <w:szCs w:val="24"/>
        </w:rPr>
        <w:t xml:space="preserve">Pēdējā gada laikā jābūt realizētam vismaz 1 projektam, ar vismaz 20 (divdesmit) skaitītājiem, kas integrēti Honeywel NX Centraline sistēmās. </w:t>
      </w:r>
    </w:p>
    <w:p w14:paraId="08093141" w14:textId="77777777" w:rsidR="00AA578E" w:rsidRDefault="006952FE">
      <w:pPr>
        <w:pStyle w:val="ListParagraph"/>
        <w:numPr>
          <w:ilvl w:val="0"/>
          <w:numId w:val="2"/>
        </w:numPr>
        <w:spacing w:after="160" w:line="242" w:lineRule="auto"/>
        <w:rPr>
          <w:rFonts w:ascii="Times New Roman" w:hAnsi="Times New Roman"/>
          <w:sz w:val="24"/>
          <w:szCs w:val="24"/>
        </w:rPr>
      </w:pPr>
      <w:r>
        <w:rPr>
          <w:rFonts w:ascii="Times New Roman" w:hAnsi="Times New Roman"/>
          <w:sz w:val="24"/>
          <w:szCs w:val="24"/>
        </w:rPr>
        <w:t>Jāsagatavo /jāsaskaņo ar pasūtītāju elektrības un vājstrāvas kabeļu izbūves trases shēmas visiem korpusiem.</w:t>
      </w:r>
    </w:p>
    <w:p w14:paraId="63B33D6A" w14:textId="77777777" w:rsidR="00AA578E" w:rsidRDefault="006952FE">
      <w:pPr>
        <w:spacing w:after="0"/>
        <w:ind w:left="709"/>
        <w:jc w:val="center"/>
        <w:rPr>
          <w:rFonts w:ascii="Times New Roman" w:hAnsi="Times New Roman"/>
          <w:b/>
          <w:bCs/>
          <w:sz w:val="24"/>
          <w:szCs w:val="24"/>
        </w:rPr>
      </w:pPr>
      <w:r>
        <w:rPr>
          <w:rFonts w:ascii="Times New Roman" w:hAnsi="Times New Roman"/>
          <w:b/>
          <w:bCs/>
          <w:sz w:val="24"/>
          <w:szCs w:val="24"/>
        </w:rPr>
        <w:t>Prasības elektroenerģijas skaitītājiem</w:t>
      </w:r>
    </w:p>
    <w:p w14:paraId="6E47EB30" w14:textId="77777777" w:rsidR="00AA578E" w:rsidRDefault="00AA578E">
      <w:pPr>
        <w:spacing w:after="0"/>
        <w:ind w:left="709"/>
        <w:jc w:val="center"/>
        <w:rPr>
          <w:rFonts w:ascii="Times New Roman" w:hAnsi="Times New Roman"/>
          <w:b/>
          <w:bCs/>
          <w:sz w:val="24"/>
          <w:szCs w:val="24"/>
        </w:rPr>
      </w:pPr>
    </w:p>
    <w:p w14:paraId="58168EEA"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Elektriskajiem skaitītājiem jābūt ar iespēju nolasīt vizuāli uz vietas un attālināti;</w:t>
      </w:r>
    </w:p>
    <w:p w14:paraId="74759839"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Jābūt aprīkotiem ar M-Bus vai Modbus moduļiem;</w:t>
      </w:r>
    </w:p>
    <w:p w14:paraId="5E5DAE27"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lastRenderedPageBreak/>
        <w:t>Elektroenerģijas skaitītājiem ir jābūt iespējai nolasīt momentānās vērtības jaudai un strāvai pa fāzēm;</w:t>
      </w:r>
    </w:p>
    <w:p w14:paraId="4AEEFA4A"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Jābūt paredzētam komerciālajai uzskaitei ar 3 un vairāk tarifiem, atbilstoši AS sadales tīklu definētām laika zonām (nakts zona un nedēļas nogale, maksimumstundu zona, dienas zona);</w:t>
      </w:r>
    </w:p>
    <w:p w14:paraId="4D04C6D8"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Izgatavotājrūpnīcas skaitītāju pirmreizējās verifikācijas apzīmējums ne vecāks par 2021. gadu;</w:t>
      </w:r>
    </w:p>
    <w:p w14:paraId="4B4D1DC4" w14:textId="77777777" w:rsidR="00AA578E" w:rsidRDefault="006952FE">
      <w:pPr>
        <w:pStyle w:val="ListParagraph"/>
        <w:keepNext/>
        <w:keepLines/>
        <w:numPr>
          <w:ilvl w:val="0"/>
          <w:numId w:val="4"/>
        </w:numPr>
        <w:overflowPunct w:val="0"/>
        <w:autoSpaceDE w:val="0"/>
        <w:spacing w:after="0"/>
        <w:rPr>
          <w:rFonts w:ascii="Times New Roman" w:hAnsi="Times New Roman"/>
          <w:sz w:val="24"/>
          <w:szCs w:val="24"/>
        </w:rPr>
      </w:pPr>
      <w:r>
        <w:rPr>
          <w:rFonts w:ascii="Times New Roman" w:hAnsi="Times New Roman"/>
          <w:sz w:val="24"/>
          <w:szCs w:val="24"/>
        </w:rPr>
        <w:t>Marķējumam jāatbilst Eiropas Parlamenta un Padomes Direktīvas 2014/32/ES prasībām.</w:t>
      </w:r>
    </w:p>
    <w:p w14:paraId="687BC51D"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Skaitītājam jāatbilst Ministru kabineta 2016.gada 12.aprīļa MK noteikumu Nr.212 ”Mērīšanas līdzekļu metroloģiskās prasības un to metroloģiskās kontroles kārtība” prasībām;</w:t>
      </w:r>
    </w:p>
    <w:p w14:paraId="6F45CC5D"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Skaitītājiem jāatbilst Ministru kabineta 2006.gada 22.augusta MK noteikumu Nr.666 “Noteikumi par metroloģiskajam prasībām aktīvās elektroenerģijas skaitītājiem”;</w:t>
      </w:r>
    </w:p>
    <w:p w14:paraId="63BDFC07" w14:textId="77777777" w:rsidR="00AA578E" w:rsidRDefault="00AA578E">
      <w:pPr>
        <w:spacing w:after="0"/>
        <w:jc w:val="center"/>
        <w:rPr>
          <w:rFonts w:ascii="Times New Roman" w:hAnsi="Times New Roman"/>
          <w:b/>
          <w:bCs/>
          <w:sz w:val="24"/>
          <w:szCs w:val="24"/>
        </w:rPr>
      </w:pPr>
    </w:p>
    <w:p w14:paraId="0A7A7648" w14:textId="77777777" w:rsidR="00AA578E" w:rsidRDefault="006952FE">
      <w:pPr>
        <w:spacing w:after="0"/>
        <w:jc w:val="center"/>
        <w:rPr>
          <w:rFonts w:ascii="Times New Roman" w:hAnsi="Times New Roman"/>
          <w:b/>
          <w:bCs/>
          <w:sz w:val="24"/>
          <w:szCs w:val="24"/>
        </w:rPr>
      </w:pPr>
      <w:r>
        <w:rPr>
          <w:rFonts w:ascii="Times New Roman" w:hAnsi="Times New Roman"/>
          <w:b/>
          <w:bCs/>
          <w:sz w:val="24"/>
          <w:szCs w:val="24"/>
        </w:rPr>
        <w:t>Prasības ūdens skaitītājiem</w:t>
      </w:r>
    </w:p>
    <w:p w14:paraId="1718648D" w14:textId="77777777" w:rsidR="00AA578E" w:rsidRDefault="00AA578E">
      <w:pPr>
        <w:spacing w:after="0"/>
        <w:jc w:val="center"/>
        <w:rPr>
          <w:rFonts w:ascii="Times New Roman" w:hAnsi="Times New Roman"/>
          <w:b/>
          <w:bCs/>
          <w:sz w:val="24"/>
          <w:szCs w:val="24"/>
        </w:rPr>
      </w:pPr>
    </w:p>
    <w:p w14:paraId="1DD63823"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t>- jābūt iespējai nolasīt skaitītāja rādījumus uz vietas un attālināti ar nolasīšanas protokolu M-Bus vai Modbus;</w:t>
      </w:r>
    </w:p>
    <w:p w14:paraId="3E34520F"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lastRenderedPageBreak/>
        <w:t xml:space="preserve">- Ultraskaņas vai elektromagnētiskā tipa ūdens patēriņa uzskaites skaitītājam (turpmāk – Skaitītājs) ir jābūt bez kustīgām komplektējošām detaļām. Piedāvātajam </w:t>
      </w:r>
    </w:p>
    <w:p w14:paraId="783CDDE4"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t>- Ne mazāk kā B klases uzskaites precizitāte. Izgatavotājrūpnīcas pirmreizējās verifikācijas apzīmējums ne vecāks par 2021. gadu;</w:t>
      </w:r>
    </w:p>
    <w:p w14:paraId="521968DE" w14:textId="77777777" w:rsidR="00AA578E" w:rsidRDefault="006952FE">
      <w:pPr>
        <w:keepNext/>
        <w:keepLines/>
        <w:overflowPunct w:val="0"/>
        <w:autoSpaceDE w:val="0"/>
        <w:spacing w:after="0" w:line="276" w:lineRule="auto"/>
        <w:ind w:left="720"/>
        <w:jc w:val="both"/>
        <w:rPr>
          <w:rFonts w:ascii="Times New Roman" w:hAnsi="Times New Roman"/>
          <w:sz w:val="24"/>
          <w:szCs w:val="24"/>
        </w:rPr>
      </w:pPr>
      <w:r>
        <w:rPr>
          <w:rFonts w:ascii="Times New Roman" w:hAnsi="Times New Roman"/>
          <w:sz w:val="24"/>
          <w:szCs w:val="24"/>
        </w:rPr>
        <w:lastRenderedPageBreak/>
        <w:t>- jāatbilst Ministru kabineta 2016.gada 12.aprīļa MK noteikumu Nr.212 ”Mērīšanas līdzekļu metroloģiskās prasības un to metroloģiskās kontroles kārtība” prasībām;</w:t>
      </w:r>
    </w:p>
    <w:p w14:paraId="33D8DC00" w14:textId="77777777" w:rsidR="00AA578E" w:rsidRDefault="006952FE">
      <w:pPr>
        <w:keepNext/>
        <w:keepLines/>
        <w:overflowPunct w:val="0"/>
        <w:autoSpaceDE w:val="0"/>
        <w:spacing w:after="0" w:line="276" w:lineRule="auto"/>
        <w:ind w:left="720"/>
        <w:jc w:val="both"/>
        <w:rPr>
          <w:rFonts w:ascii="Times New Roman" w:hAnsi="Times New Roman"/>
          <w:sz w:val="24"/>
          <w:szCs w:val="24"/>
        </w:rPr>
      </w:pPr>
      <w:r>
        <w:rPr>
          <w:rFonts w:ascii="Times New Roman" w:hAnsi="Times New Roman"/>
          <w:sz w:val="24"/>
          <w:szCs w:val="24"/>
        </w:rPr>
        <w:t>- jāatbilst 2006.gada 22.augusta MK noteikumu Nr.664 „Noteikumi par metroloģiskajām prasībām ūdens patēriņa skaitītājiem” prasībām;</w:t>
      </w:r>
    </w:p>
    <w:p w14:paraId="217CAD31" w14:textId="77777777" w:rsidR="00AA578E" w:rsidRDefault="006952FE">
      <w:pPr>
        <w:keepNext/>
        <w:keepLines/>
        <w:overflowPunct w:val="0"/>
        <w:autoSpaceDE w:val="0"/>
        <w:spacing w:after="0" w:line="276" w:lineRule="auto"/>
        <w:ind w:left="720"/>
        <w:jc w:val="both"/>
        <w:rPr>
          <w:rFonts w:ascii="Times New Roman" w:hAnsi="Times New Roman"/>
          <w:sz w:val="24"/>
          <w:szCs w:val="24"/>
        </w:rPr>
      </w:pPr>
      <w:r>
        <w:rPr>
          <w:rFonts w:ascii="Times New Roman" w:hAnsi="Times New Roman"/>
          <w:sz w:val="24"/>
          <w:szCs w:val="24"/>
        </w:rPr>
        <w:t>- Skaitītājiem jābūt paredzētiem uzstādīšanai jebkurā leņķī, gan vertikāli, gan horizontāli, tai pat laikā saglabājot atbilstību attiecīgajām mērinstrumentu direktīvām.</w:t>
      </w:r>
    </w:p>
    <w:p w14:paraId="470CE553" w14:textId="77777777" w:rsidR="00AA578E" w:rsidRDefault="006952FE">
      <w:pPr>
        <w:keepNext/>
        <w:keepLines/>
        <w:overflowPunct w:val="0"/>
        <w:autoSpaceDE w:val="0"/>
        <w:spacing w:after="0" w:line="276" w:lineRule="auto"/>
        <w:ind w:left="720"/>
        <w:jc w:val="both"/>
      </w:pPr>
      <w:r>
        <w:rPr>
          <w:rFonts w:ascii="Times New Roman" w:hAnsi="Times New Roman"/>
          <w:sz w:val="24"/>
          <w:szCs w:val="24"/>
        </w:rPr>
        <w:t>- Displejam jābūt iespējai uzrādīt ne mazāk kā 4 ciparus ūdens patēriņa uzskaites daļai kubikmetros (m</w:t>
      </w:r>
      <w:r>
        <w:rPr>
          <w:rFonts w:ascii="Times New Roman" w:hAnsi="Times New Roman"/>
          <w:sz w:val="24"/>
          <w:szCs w:val="24"/>
          <w:vertAlign w:val="superscript"/>
        </w:rPr>
        <w:t>3</w:t>
      </w:r>
      <w:r>
        <w:rPr>
          <w:rFonts w:ascii="Times New Roman" w:hAnsi="Times New Roman"/>
          <w:sz w:val="24"/>
          <w:szCs w:val="24"/>
        </w:rPr>
        <w:t>) un ne mazāk kā 3 ciparus ūdens patēriņa uzskaites daļai litros (l);</w:t>
      </w:r>
    </w:p>
    <w:p w14:paraId="54C687A7" w14:textId="77777777" w:rsidR="00AA578E" w:rsidRDefault="006952FE">
      <w:pPr>
        <w:keepNext/>
        <w:keepLines/>
        <w:overflowPunct w:val="0"/>
        <w:autoSpaceDE w:val="0"/>
        <w:spacing w:after="0" w:line="276" w:lineRule="auto"/>
        <w:ind w:firstLine="720"/>
        <w:jc w:val="both"/>
        <w:rPr>
          <w:rFonts w:ascii="Times New Roman" w:hAnsi="Times New Roman"/>
          <w:sz w:val="24"/>
          <w:szCs w:val="24"/>
        </w:rPr>
      </w:pPr>
      <w:r>
        <w:rPr>
          <w:rFonts w:ascii="Times New Roman" w:hAnsi="Times New Roman"/>
          <w:sz w:val="24"/>
          <w:szCs w:val="24"/>
        </w:rPr>
        <w:t>- skaitītājam jāatbilst visām higiēnas prasībām, lai to lietotu slimnīcas telpās.</w:t>
      </w:r>
    </w:p>
    <w:p w14:paraId="5F4EFE16" w14:textId="77777777" w:rsidR="00AA578E" w:rsidRDefault="006952FE">
      <w:pPr>
        <w:keepNext/>
        <w:keepLines/>
        <w:overflowPunct w:val="0"/>
        <w:autoSpaceDE w:val="0"/>
        <w:spacing w:after="0" w:line="276" w:lineRule="auto"/>
        <w:ind w:firstLine="720"/>
        <w:jc w:val="both"/>
        <w:rPr>
          <w:rFonts w:ascii="Times New Roman" w:hAnsi="Times New Roman"/>
          <w:sz w:val="24"/>
          <w:szCs w:val="24"/>
        </w:rPr>
      </w:pPr>
      <w:r>
        <w:rPr>
          <w:rFonts w:ascii="Times New Roman" w:hAnsi="Times New Roman"/>
          <w:sz w:val="24"/>
          <w:szCs w:val="24"/>
        </w:rPr>
        <w:t>- uzstādītajiem ūdens skaitītājiem, kas tiks uzstādīti jāatbilst nominālajam ūdens patēriņam ēku ievados;</w:t>
      </w:r>
    </w:p>
    <w:p w14:paraId="74768BD3" w14:textId="77777777" w:rsidR="00AA578E" w:rsidRDefault="006952FE">
      <w:pPr>
        <w:spacing w:after="0"/>
        <w:jc w:val="center"/>
        <w:rPr>
          <w:rFonts w:ascii="Times New Roman" w:hAnsi="Times New Roman"/>
          <w:b/>
          <w:bCs/>
          <w:sz w:val="24"/>
          <w:szCs w:val="24"/>
        </w:rPr>
      </w:pPr>
      <w:r>
        <w:rPr>
          <w:rFonts w:ascii="Times New Roman" w:hAnsi="Times New Roman"/>
          <w:b/>
          <w:bCs/>
          <w:sz w:val="24"/>
          <w:szCs w:val="24"/>
        </w:rPr>
        <w:t>Prasības siltumenerģijas skaitītājiem</w:t>
      </w:r>
    </w:p>
    <w:p w14:paraId="02DF04D5" w14:textId="77777777" w:rsidR="00AA578E" w:rsidRDefault="00AA578E">
      <w:pPr>
        <w:spacing w:after="0"/>
        <w:jc w:val="center"/>
        <w:rPr>
          <w:rFonts w:ascii="Times New Roman" w:hAnsi="Times New Roman"/>
          <w:b/>
          <w:bCs/>
          <w:sz w:val="24"/>
          <w:szCs w:val="24"/>
        </w:rPr>
      </w:pPr>
    </w:p>
    <w:p w14:paraId="40C91780"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lastRenderedPageBreak/>
        <w:t>- jābūt iespējai nolasīt skaitītāja rādījumus uz vietas un attālināti ar nolasīšanas protokolu M-Bus vai Modbus;</w:t>
      </w:r>
    </w:p>
    <w:p w14:paraId="7D976536"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t>- jābūt aprīkotam ar M-Bus vai Modbus raidītāju;</w:t>
      </w:r>
    </w:p>
    <w:p w14:paraId="3412C60C"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t>- akumulatora mūžs ne mazāk kā 10 (desmit) gadi;</w:t>
      </w:r>
    </w:p>
    <w:p w14:paraId="4F4496E5" w14:textId="77777777" w:rsidR="00AA578E" w:rsidRDefault="006952FE">
      <w:pPr>
        <w:spacing w:after="0"/>
        <w:ind w:left="720"/>
        <w:jc w:val="both"/>
        <w:rPr>
          <w:rFonts w:ascii="Times New Roman" w:hAnsi="Times New Roman"/>
          <w:sz w:val="24"/>
          <w:szCs w:val="24"/>
        </w:rPr>
      </w:pPr>
      <w:r>
        <w:rPr>
          <w:rFonts w:ascii="Times New Roman" w:hAnsi="Times New Roman"/>
          <w:sz w:val="24"/>
          <w:szCs w:val="24"/>
        </w:rPr>
        <w:t>- jāveic mērījumi ar ultraskaņu;</w:t>
      </w:r>
    </w:p>
    <w:p w14:paraId="155DB58C" w14:textId="77777777" w:rsidR="00AA578E" w:rsidRDefault="006952FE">
      <w:pPr>
        <w:pStyle w:val="ListParagraph"/>
        <w:rPr>
          <w:rFonts w:ascii="Times New Roman" w:hAnsi="Times New Roman"/>
          <w:sz w:val="24"/>
          <w:szCs w:val="24"/>
        </w:rPr>
      </w:pPr>
      <w:r>
        <w:rPr>
          <w:rFonts w:ascii="Times New Roman" w:hAnsi="Times New Roman"/>
          <w:sz w:val="24"/>
          <w:szCs w:val="24"/>
        </w:rPr>
        <w:t>- Skaitītājam jāatbilst Ministru kabineta 2016.gada 12.aprīļa MK noteikumu Nr.212 ”Mērīšanas līdzekļu metroloģiskās prasības un to metroloģiskās kontroles kārtība” prasībām;</w:t>
      </w:r>
    </w:p>
    <w:p w14:paraId="470A73FB" w14:textId="77777777" w:rsidR="00AA578E" w:rsidRDefault="006952FE">
      <w:pPr>
        <w:pStyle w:val="ListParagraph"/>
        <w:rPr>
          <w:rFonts w:ascii="Times New Roman" w:hAnsi="Times New Roman"/>
          <w:sz w:val="24"/>
          <w:szCs w:val="24"/>
        </w:rPr>
      </w:pPr>
      <w:r>
        <w:rPr>
          <w:rFonts w:ascii="Times New Roman" w:hAnsi="Times New Roman"/>
          <w:sz w:val="24"/>
          <w:szCs w:val="24"/>
        </w:rPr>
        <w:t>Skaitītājam jāatbilst Ministru kabineta 2006.gada 22.augusta MK noteikumu Nr.667 ”Noteikumi par metrologiskajām prasībām siltumenerģijas skaitītājiem” prasībām;</w:t>
      </w:r>
    </w:p>
    <w:p w14:paraId="77103FE5" w14:textId="77777777" w:rsidR="00AA578E" w:rsidRDefault="006952F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Jābūt pasargātiem pret turbulentajām plūsmām un jābūt atbilstīgiem nominalajām jaudām montāžas vietās.</w:t>
      </w:r>
    </w:p>
    <w:p w14:paraId="45701A9E" w14:textId="77777777" w:rsidR="00AA578E" w:rsidRDefault="00AA578E">
      <w:pPr>
        <w:spacing w:after="0"/>
        <w:jc w:val="both"/>
        <w:rPr>
          <w:rFonts w:ascii="Times New Roman" w:hAnsi="Times New Roman"/>
          <w:sz w:val="24"/>
          <w:szCs w:val="24"/>
        </w:rPr>
      </w:pPr>
    </w:p>
    <w:p w14:paraId="78BA04EC" w14:textId="77777777" w:rsidR="00AA578E" w:rsidRDefault="006952FE">
      <w:pPr>
        <w:spacing w:after="0"/>
        <w:jc w:val="both"/>
        <w:rPr>
          <w:rFonts w:ascii="Times New Roman" w:hAnsi="Times New Roman"/>
          <w:sz w:val="24"/>
          <w:szCs w:val="24"/>
        </w:rPr>
      </w:pPr>
      <w:r>
        <w:rPr>
          <w:rFonts w:ascii="Times New Roman" w:hAnsi="Times New Roman"/>
          <w:sz w:val="24"/>
          <w:szCs w:val="24"/>
        </w:rPr>
        <w:t>Skaitītāju uzskaites sistēmu jāizveido ar sekojošām komponentēm:</w:t>
      </w:r>
    </w:p>
    <w:p w14:paraId="135BD6A9"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1) Centrālais vadības kontrolieris Centraline Honeywell NX ar attiecīgu loģisku punktu skaitu;</w:t>
      </w:r>
    </w:p>
    <w:p w14:paraId="4546CDDD"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2) Centrālā kontroliera izvietošana jāparedz risinājuma izveidošanas laikā.</w:t>
      </w:r>
    </w:p>
    <w:p w14:paraId="4854612A"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lastRenderedPageBreak/>
        <w:t>3) Centrālajam kontrolierim jāparedz vadības sadale un nepieciešams zemsprieguma komutācijas aparatūra., t.i. barošanas blokus u.c. komponentes. Vadības sadales aizsardzības klase jāparedz IP54.</w:t>
      </w:r>
    </w:p>
    <w:p w14:paraId="682065D7"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4) Lokālie protokola pārveidotāji – M Bus/ M Bus TCP IP, ModBus  RS485/ ModBus TCP/IP AdfWeb ražotie vai analogs. Pārveidotājus jāparedz izvietot katrā objekta korpusā vadības sadalē. Pārveidotājiem paredzēt vadības sadali un nepieciešamu zemsprieguma komutācijas apertūru, t.i. barošanas blokus u.c. komponentes. Vadības sadales aizsardzības klase jāparedz IP54.</w:t>
      </w:r>
    </w:p>
    <w:p w14:paraId="3DEFE44A"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 xml:space="preserve">5) Skaitītāju rādījumu nolasīšanas protokoli ir M-Bus vai  ModBus. Datu pārraidei starp korpusu skaitītājiem un centrālo kontrolieri jāizmanto PSKUS lokālais datu pārraides LAN tīkls, izveidojot virtuālu apakštīklu. </w:t>
      </w:r>
    </w:p>
    <w:p w14:paraId="3715B609"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 xml:space="preserve">6) Katra ēkas korpusa skaitītāji jāparedz pieslēgt lokāliem pārveidotājiem. </w:t>
      </w:r>
    </w:p>
    <w:p w14:paraId="56F5583A"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7) Piedāvājuma izstrādes laikā ir jāparedz vadības kontrolieru barošanas kabeļi, to izbūves izmaksas, elektroapgādes pieslēguma vietas, LAN kabeļi, to izbūves izmaksas un pieslēguma vietas, tīklu un iekārtu izpilddokumentācija.</w:t>
      </w:r>
    </w:p>
    <w:p w14:paraId="1D46848F" w14:textId="77777777" w:rsidR="00AA578E" w:rsidRDefault="006952FE">
      <w:pPr>
        <w:spacing w:after="0"/>
        <w:ind w:firstLine="720"/>
        <w:jc w:val="both"/>
        <w:rPr>
          <w:rFonts w:ascii="Times New Roman" w:hAnsi="Times New Roman"/>
          <w:sz w:val="24"/>
          <w:szCs w:val="24"/>
        </w:rPr>
      </w:pPr>
      <w:r>
        <w:rPr>
          <w:rFonts w:ascii="Times New Roman" w:hAnsi="Times New Roman"/>
          <w:sz w:val="24"/>
          <w:szCs w:val="24"/>
        </w:rPr>
        <w:t xml:space="preserve">8) Skaitītāju rādījumi ir jāintegrē esošā VAS vizualizācijas Centraline Arena NX sistēmā. Protokols starp </w:t>
      </w:r>
      <w:r>
        <w:rPr>
          <w:rFonts w:ascii="Times New Roman" w:hAnsi="Times New Roman"/>
          <w:sz w:val="24"/>
          <w:szCs w:val="24"/>
        </w:rPr>
        <w:lastRenderedPageBreak/>
        <w:t>enerģijas uzskaites centrālo kontrolieru un esošās VAS vizualizācijas sistēmu – Niagara NX.</w:t>
      </w:r>
    </w:p>
    <w:p w14:paraId="35583379" w14:textId="77777777" w:rsidR="00AA578E" w:rsidRDefault="00AA578E">
      <w:pPr>
        <w:spacing w:after="0"/>
        <w:ind w:firstLine="720"/>
        <w:jc w:val="both"/>
        <w:rPr>
          <w:rFonts w:ascii="Times New Roman" w:hAnsi="Times New Roman"/>
          <w:sz w:val="24"/>
          <w:szCs w:val="24"/>
        </w:rPr>
      </w:pPr>
    </w:p>
    <w:p w14:paraId="13BB746A" w14:textId="77777777" w:rsidR="00AA578E" w:rsidRDefault="00AA578E">
      <w:pPr>
        <w:spacing w:after="0"/>
        <w:ind w:firstLine="720"/>
        <w:jc w:val="both"/>
        <w:rPr>
          <w:rFonts w:ascii="Times New Roman" w:hAnsi="Times New Roman"/>
          <w:sz w:val="24"/>
          <w:szCs w:val="24"/>
        </w:rPr>
      </w:pPr>
    </w:p>
    <w:p w14:paraId="196DB69D" w14:textId="77777777" w:rsidR="00AA578E" w:rsidRDefault="00AA578E">
      <w:pPr>
        <w:spacing w:after="0"/>
        <w:ind w:firstLine="720"/>
        <w:jc w:val="both"/>
        <w:rPr>
          <w:rFonts w:ascii="Times New Roman" w:hAnsi="Times New Roman"/>
          <w:sz w:val="24"/>
          <w:szCs w:val="24"/>
        </w:rPr>
      </w:pPr>
    </w:p>
    <w:p w14:paraId="2103700A" w14:textId="77777777" w:rsidR="00AA578E" w:rsidRDefault="00AA578E">
      <w:pPr>
        <w:spacing w:after="0"/>
        <w:ind w:firstLine="720"/>
        <w:jc w:val="both"/>
        <w:rPr>
          <w:rFonts w:ascii="Times New Roman" w:hAnsi="Times New Roman"/>
          <w:sz w:val="24"/>
          <w:szCs w:val="24"/>
        </w:rPr>
      </w:pPr>
    </w:p>
    <w:p w14:paraId="1BEE02A8" w14:textId="77777777" w:rsidR="00AA578E" w:rsidRDefault="00AA578E">
      <w:pPr>
        <w:spacing w:after="0"/>
        <w:ind w:firstLine="720"/>
        <w:jc w:val="both"/>
        <w:rPr>
          <w:rFonts w:ascii="Times New Roman" w:hAnsi="Times New Roman"/>
          <w:sz w:val="24"/>
          <w:szCs w:val="24"/>
        </w:rPr>
      </w:pPr>
    </w:p>
    <w:p w14:paraId="14E8A467" w14:textId="77777777" w:rsidR="00AA578E" w:rsidRDefault="00AA578E">
      <w:pPr>
        <w:spacing w:after="0"/>
        <w:ind w:firstLine="720"/>
        <w:jc w:val="both"/>
        <w:rPr>
          <w:rFonts w:ascii="Times New Roman" w:hAnsi="Times New Roman"/>
          <w:sz w:val="24"/>
          <w:szCs w:val="24"/>
        </w:rPr>
      </w:pPr>
    </w:p>
    <w:p w14:paraId="3BF7ADD4" w14:textId="77777777" w:rsidR="00AA578E" w:rsidRDefault="006952FE">
      <w:pPr>
        <w:spacing w:after="0"/>
        <w:ind w:firstLine="720"/>
        <w:jc w:val="center"/>
        <w:rPr>
          <w:rFonts w:ascii="Times New Roman" w:hAnsi="Times New Roman"/>
          <w:sz w:val="24"/>
          <w:szCs w:val="24"/>
        </w:rPr>
      </w:pPr>
      <w:r>
        <w:rPr>
          <w:rFonts w:ascii="Times New Roman" w:hAnsi="Times New Roman"/>
          <w:sz w:val="24"/>
          <w:szCs w:val="24"/>
        </w:rPr>
        <w:t>Orientējoši nepieciešamie skaitītāji.</w:t>
      </w:r>
    </w:p>
    <w:p w14:paraId="27D47083" w14:textId="77777777" w:rsidR="00AA578E" w:rsidRDefault="00AA578E">
      <w:pPr>
        <w:spacing w:after="0"/>
        <w:ind w:firstLine="720"/>
        <w:jc w:val="both"/>
        <w:rPr>
          <w:rFonts w:ascii="Times New Roman" w:hAnsi="Times New Roman"/>
          <w:sz w:val="24"/>
          <w:szCs w:val="24"/>
        </w:rPr>
      </w:pPr>
    </w:p>
    <w:tbl>
      <w:tblPr>
        <w:tblW w:w="9781" w:type="dxa"/>
        <w:tblInd w:w="-577" w:type="dxa"/>
        <w:tblCellMar>
          <w:left w:w="10" w:type="dxa"/>
          <w:right w:w="10" w:type="dxa"/>
        </w:tblCellMar>
        <w:tblLook w:val="0000" w:firstRow="0" w:lastRow="0" w:firstColumn="0" w:lastColumn="0" w:noHBand="0" w:noVBand="0"/>
      </w:tblPr>
      <w:tblGrid>
        <w:gridCol w:w="441"/>
        <w:gridCol w:w="5406"/>
        <w:gridCol w:w="700"/>
        <w:gridCol w:w="943"/>
        <w:gridCol w:w="2291"/>
      </w:tblGrid>
      <w:tr w:rsidR="00AA578E" w14:paraId="3856F147" w14:textId="77777777">
        <w:trPr>
          <w:trHeight w:val="249"/>
        </w:trPr>
        <w:tc>
          <w:tcPr>
            <w:tcW w:w="44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BED2AE8" w14:textId="77777777" w:rsidR="00AA578E" w:rsidRDefault="00AA578E">
            <w:pPr>
              <w:jc w:val="center"/>
              <w:rPr>
                <w:rFonts w:ascii="Times New Roman" w:hAnsi="Times New Roman"/>
                <w:color w:val="000000"/>
                <w:sz w:val="18"/>
                <w:szCs w:val="18"/>
                <w:lang w:eastAsia="lv-LV"/>
              </w:rPr>
            </w:pPr>
          </w:p>
        </w:tc>
        <w:tc>
          <w:tcPr>
            <w:tcW w:w="540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93CD89"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Nosaukums</w:t>
            </w:r>
          </w:p>
        </w:tc>
        <w:tc>
          <w:tcPr>
            <w:tcW w:w="70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540F701"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Mērv.</w:t>
            </w:r>
          </w:p>
        </w:tc>
        <w:tc>
          <w:tcPr>
            <w:tcW w:w="943"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850D37C"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Skaits</w:t>
            </w:r>
          </w:p>
        </w:tc>
        <w:tc>
          <w:tcPr>
            <w:tcW w:w="229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FCDE1AA"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Korpuss</w:t>
            </w:r>
          </w:p>
        </w:tc>
      </w:tr>
      <w:tr w:rsidR="00AA578E" w14:paraId="00BD4692" w14:textId="77777777">
        <w:trPr>
          <w:trHeight w:val="249"/>
        </w:trPr>
        <w:tc>
          <w:tcPr>
            <w:tcW w:w="44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A73054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w:t>
            </w:r>
          </w:p>
        </w:tc>
        <w:tc>
          <w:tcPr>
            <w:tcW w:w="540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9FA3B5"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1 1/2"</w:t>
            </w:r>
          </w:p>
        </w:tc>
        <w:tc>
          <w:tcPr>
            <w:tcW w:w="70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C5821E8"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C19A23E"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1,00</w:t>
            </w:r>
          </w:p>
        </w:tc>
        <w:tc>
          <w:tcPr>
            <w:tcW w:w="229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E71D9CC"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8</w:t>
            </w:r>
          </w:p>
        </w:tc>
      </w:tr>
      <w:tr w:rsidR="00AA578E" w14:paraId="704F5AC9" w14:textId="77777777">
        <w:trPr>
          <w:trHeight w:val="41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849123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2.</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4DF878"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1 1/4"</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41E318"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2B1DED8"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7,00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6CBED71D"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13, 5x39k, 40,</w:t>
            </w:r>
          </w:p>
        </w:tc>
      </w:tr>
      <w:tr w:rsidR="00AA578E" w14:paraId="6C422F52" w14:textId="77777777">
        <w:trPr>
          <w:trHeight w:val="261"/>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5AB68C"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3.</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19F77E"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1"</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6D38866B"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C89BB6C"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2,00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3AE7DE26"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5,7</w:t>
            </w:r>
          </w:p>
        </w:tc>
      </w:tr>
      <w:tr w:rsidR="00AA578E" w14:paraId="6C7963CF" w14:textId="77777777">
        <w:trPr>
          <w:trHeight w:val="139"/>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21E3C9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4.</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0885E4"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1/2"</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6B054568"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44448EDB"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2,00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15294CF1"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1,12</w:t>
            </w:r>
          </w:p>
        </w:tc>
      </w:tr>
      <w:tr w:rsidR="00AA578E" w14:paraId="0892C22D" w14:textId="77777777">
        <w:trPr>
          <w:trHeight w:val="119"/>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F6E720"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5.</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0D71E5"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2"</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6CD72BAA"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15B311EB"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24,00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11C33346"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2,4,9,10,11, 2x18k, 2x21k, 2x23k, 2x24k,2x25k, 26,27, 5x38k, 108, 109,</w:t>
            </w:r>
          </w:p>
        </w:tc>
      </w:tr>
      <w:tr w:rsidR="00AA578E" w14:paraId="206D6159"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12FDF3D"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6.</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93E50E"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3/4"</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8C6FEE9"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652E1828"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3461A115"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6</w:t>
            </w:r>
          </w:p>
        </w:tc>
      </w:tr>
      <w:tr w:rsidR="00AA578E" w14:paraId="0AA5F80E"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F3C4815"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7.</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A622AC"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Ūdens skatītāja ar M Bus vai Modbus raidītāju montāža 4"</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0E8D008C"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25AA917"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4,00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7B15B3F7"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15,18,32,33</w:t>
            </w:r>
          </w:p>
        </w:tc>
      </w:tr>
      <w:tr w:rsidR="00AA578E" w14:paraId="61106591"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C29E52A"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8.</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4938F4"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Siltumenerģijas skaitītājs ar M Bus vai Modbus raidītāju montāža 2"</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1AA110"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AA1B409"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4,00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08849337"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1,2,40,109,</w:t>
            </w:r>
          </w:p>
        </w:tc>
      </w:tr>
      <w:tr w:rsidR="00AA578E" w14:paraId="424316B4"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D155B8B"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9.</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65C49A"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&gt;100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634315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B56D2CB"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7,00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0CE181F4"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1,26,27,38,39, 2x109k</w:t>
            </w:r>
          </w:p>
        </w:tc>
      </w:tr>
      <w:tr w:rsidR="00AA578E" w14:paraId="779B4EB4"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2CABF8C"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10.</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2334A0"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200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7CA6C500"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4E079E7"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6,00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52B151C8"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4x32k, 2x108k</w:t>
            </w:r>
          </w:p>
        </w:tc>
      </w:tr>
      <w:tr w:rsidR="00AA578E" w14:paraId="4EA3A25F"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C27428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11.</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312278"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150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D042A1D"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D0702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2,00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6E6C5FC9"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13,21</w:t>
            </w:r>
          </w:p>
        </w:tc>
      </w:tr>
      <w:tr w:rsidR="00AA578E" w14:paraId="3FC8F31A"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698F631"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12.</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9B447"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250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0BF5F903"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765EAD2C"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8,00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29265CF5"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10,12, 3x21k, 23,24,25</w:t>
            </w:r>
          </w:p>
        </w:tc>
      </w:tr>
      <w:tr w:rsidR="00AA578E" w14:paraId="2F948535"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B230CF5"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13.</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B4C4AF"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300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73EA3175"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7A784512"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72FEAF35"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21</w:t>
            </w:r>
          </w:p>
        </w:tc>
      </w:tr>
      <w:tr w:rsidR="00AA578E" w14:paraId="20F1E321"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FC70CF4"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14.</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8F084"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400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3FC5C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40943F1C"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18,00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1245F5C3"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2x8k, 2x9k, 2x15k, 4x18k, 1x21k, 2x25k, 2x32k, 2x33k, 108</w:t>
            </w:r>
          </w:p>
        </w:tc>
      </w:tr>
      <w:tr w:rsidR="00AA578E" w14:paraId="6BA0405A" w14:textId="77777777">
        <w:trPr>
          <w:trHeight w:val="50"/>
        </w:trPr>
        <w:tc>
          <w:tcPr>
            <w:tcW w:w="441"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AA31FA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15.</w:t>
            </w:r>
          </w:p>
        </w:tc>
        <w:tc>
          <w:tcPr>
            <w:tcW w:w="5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036D57" w14:textId="77777777" w:rsidR="00AA578E" w:rsidRDefault="006952FE">
            <w:pPr>
              <w:rPr>
                <w:rFonts w:ascii="Times New Roman" w:hAnsi="Times New Roman"/>
                <w:color w:val="000000"/>
                <w:sz w:val="18"/>
                <w:szCs w:val="18"/>
                <w:lang w:eastAsia="lv-LV"/>
              </w:rPr>
            </w:pPr>
            <w:r>
              <w:rPr>
                <w:rFonts w:ascii="Times New Roman" w:hAnsi="Times New Roman"/>
                <w:color w:val="000000"/>
                <w:sz w:val="18"/>
                <w:szCs w:val="18"/>
                <w:lang w:eastAsia="lv-LV"/>
              </w:rPr>
              <w:t>Elektroenerģijas skaitītāja ar M bus vai Modbus raidītāju montāža 500 A</w:t>
            </w:r>
          </w:p>
        </w:tc>
        <w:tc>
          <w:tcPr>
            <w:tcW w:w="70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1868AAF"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Gab.</w:t>
            </w:r>
          </w:p>
        </w:tc>
        <w:tc>
          <w:tcPr>
            <w:tcW w:w="943"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41831A84" w14:textId="77777777" w:rsidR="00AA578E" w:rsidRDefault="006952FE">
            <w:pPr>
              <w:jc w:val="center"/>
              <w:rPr>
                <w:rFonts w:ascii="Times New Roman" w:hAnsi="Times New Roman"/>
                <w:color w:val="000000"/>
                <w:sz w:val="18"/>
                <w:szCs w:val="18"/>
                <w:lang w:eastAsia="lv-LV"/>
              </w:rPr>
            </w:pPr>
            <w:r>
              <w:rPr>
                <w:rFonts w:ascii="Times New Roman" w:hAnsi="Times New Roman"/>
                <w:color w:val="000000"/>
                <w:sz w:val="18"/>
                <w:szCs w:val="18"/>
                <w:lang w:eastAsia="lv-LV"/>
              </w:rPr>
              <w:t>9,00</w:t>
            </w:r>
          </w:p>
        </w:tc>
        <w:tc>
          <w:tcPr>
            <w:tcW w:w="2291" w:type="dxa"/>
            <w:tcBorders>
              <w:bottom w:val="single" w:sz="8" w:space="0" w:color="000000"/>
              <w:right w:val="single" w:sz="8" w:space="0" w:color="000000"/>
            </w:tcBorders>
            <w:shd w:val="clear" w:color="auto" w:fill="auto"/>
            <w:tcMar>
              <w:top w:w="0" w:type="dxa"/>
              <w:left w:w="10" w:type="dxa"/>
              <w:bottom w:w="0" w:type="dxa"/>
              <w:right w:w="10" w:type="dxa"/>
            </w:tcMar>
          </w:tcPr>
          <w:p w14:paraId="5D9D039B" w14:textId="77777777" w:rsidR="00AA578E" w:rsidRDefault="006952FE">
            <w:pPr>
              <w:jc w:val="center"/>
              <w:rPr>
                <w:rFonts w:ascii="Times New Roman" w:hAnsi="Times New Roman"/>
                <w:sz w:val="18"/>
                <w:szCs w:val="18"/>
                <w:lang w:eastAsia="lv-LV"/>
              </w:rPr>
            </w:pPr>
            <w:r>
              <w:rPr>
                <w:rFonts w:ascii="Times New Roman" w:hAnsi="Times New Roman"/>
                <w:sz w:val="18"/>
                <w:szCs w:val="18"/>
                <w:lang w:eastAsia="lv-LV"/>
              </w:rPr>
              <w:t>3x32k, 6x33k</w:t>
            </w:r>
          </w:p>
        </w:tc>
      </w:tr>
    </w:tbl>
    <w:p w14:paraId="7DD19DE0" w14:textId="77777777" w:rsidR="00AA578E" w:rsidRDefault="00AA578E">
      <w:pPr>
        <w:jc w:val="both"/>
        <w:rPr>
          <w:rFonts w:ascii="Times New Roman" w:hAnsi="Times New Roman"/>
          <w:sz w:val="18"/>
          <w:szCs w:val="18"/>
        </w:rPr>
      </w:pPr>
    </w:p>
    <w:p w14:paraId="6DA28AD7" w14:textId="77777777" w:rsidR="00AA578E" w:rsidRDefault="00AA578E">
      <w:pPr>
        <w:suppressAutoHyphens w:val="0"/>
        <w:spacing w:after="0"/>
        <w:jc w:val="both"/>
        <w:textAlignment w:val="auto"/>
      </w:pPr>
    </w:p>
    <w:sectPr w:rsidR="00AA578E">
      <w:pgSz w:w="11906" w:h="16838"/>
      <w:pgMar w:top="568" w:right="707"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CE83" w14:textId="77777777" w:rsidR="006952FE" w:rsidRDefault="006952FE">
      <w:pPr>
        <w:spacing w:after="0"/>
      </w:pPr>
      <w:r>
        <w:separator/>
      </w:r>
    </w:p>
  </w:endnote>
  <w:endnote w:type="continuationSeparator" w:id="0">
    <w:p w14:paraId="707318E4" w14:textId="77777777" w:rsidR="006952FE" w:rsidRDefault="00695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DD300" w14:textId="77777777" w:rsidR="006952FE" w:rsidRDefault="006952FE">
      <w:pPr>
        <w:spacing w:after="0"/>
      </w:pPr>
      <w:r>
        <w:rPr>
          <w:color w:val="000000"/>
        </w:rPr>
        <w:separator/>
      </w:r>
    </w:p>
  </w:footnote>
  <w:footnote w:type="continuationSeparator" w:id="0">
    <w:p w14:paraId="71E52428" w14:textId="77777777" w:rsidR="006952FE" w:rsidRDefault="006952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7441F"/>
    <w:multiLevelType w:val="multilevel"/>
    <w:tmpl w:val="4EEC3B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DC7B93"/>
    <w:multiLevelType w:val="multilevel"/>
    <w:tmpl w:val="F6BAEBD8"/>
    <w:lvl w:ilvl="0">
      <w:start w:val="1"/>
      <w:numFmt w:val="decimal"/>
      <w:lvlText w:val="%1."/>
      <w:lvlJc w:val="left"/>
      <w:pPr>
        <w:ind w:left="720" w:hanging="360"/>
      </w:pPr>
      <w:rPr>
        <w:b/>
      </w:rPr>
    </w:lvl>
    <w:lvl w:ilvl="1">
      <w:start w:val="1"/>
      <w:numFmt w:val="decimal"/>
      <w:lvlText w:val="%1.%2."/>
      <w:lvlJc w:val="left"/>
      <w:pPr>
        <w:ind w:left="1697" w:hanging="42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63D2F9C"/>
    <w:multiLevelType w:val="multilevel"/>
    <w:tmpl w:val="3CECABA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FB22B28"/>
    <w:multiLevelType w:val="multilevel"/>
    <w:tmpl w:val="D1A64C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8E"/>
    <w:rsid w:val="00550484"/>
    <w:rsid w:val="0062461D"/>
    <w:rsid w:val="006952FE"/>
    <w:rsid w:val="00AA5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D799"/>
  <w15:docId w15:val="{3F5F9724-DEB3-47AE-9872-119EFD6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style>
  <w:style w:type="paragraph" w:styleId="ListParagraph">
    <w:name w:val="List Paragraph"/>
    <w:basedOn w:val="Normal"/>
    <w:pPr>
      <w:suppressAutoHyphens w:val="0"/>
      <w:spacing w:after="200" w:line="276" w:lineRule="auto"/>
      <w:ind w:left="720"/>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4975</Words>
  <Characters>2836</Characters>
  <Application>Microsoft Office Word</Application>
  <DocSecurity>4</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Jundulis</dc:creator>
  <dc:description/>
  <cp:lastModifiedBy>Andrejs Vessers</cp:lastModifiedBy>
  <cp:revision>2</cp:revision>
  <cp:lastPrinted>2022-05-25T06:40:00Z</cp:lastPrinted>
  <dcterms:created xsi:type="dcterms:W3CDTF">2022-07-25T11:00:00Z</dcterms:created>
  <dcterms:modified xsi:type="dcterms:W3CDTF">2022-07-25T11:00:00Z</dcterms:modified>
</cp:coreProperties>
</file>