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20A98" w14:textId="51C733AC" w:rsidR="006F0429" w:rsidRPr="00126526" w:rsidRDefault="006F0429" w:rsidP="00144A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526">
        <w:rPr>
          <w:rFonts w:ascii="Times New Roman" w:hAnsi="Times New Roman" w:cs="Times New Roman"/>
          <w:b/>
          <w:bCs/>
          <w:sz w:val="24"/>
          <w:szCs w:val="24"/>
          <w:u w:val="single"/>
        </w:rPr>
        <w:t>Tirgus izpēte</w:t>
      </w:r>
    </w:p>
    <w:p w14:paraId="6664D110" w14:textId="26090550" w:rsidR="00CD4CEA" w:rsidRPr="00126526" w:rsidRDefault="00CD4CEA" w:rsidP="009867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526">
        <w:rPr>
          <w:rFonts w:ascii="Times New Roman" w:hAnsi="Times New Roman" w:cs="Times New Roman"/>
          <w:b/>
          <w:bCs/>
          <w:sz w:val="24"/>
          <w:szCs w:val="24"/>
        </w:rPr>
        <w:t>VSIA “Paula Stradiņa klīniskā universitātes slimnīca” (turpmāk – Slimnīca) pacientu ēdināšanas pakalpojuma nodrošinājum</w:t>
      </w:r>
      <w:r w:rsidR="006F0429" w:rsidRPr="00126526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126526">
        <w:rPr>
          <w:rFonts w:ascii="Times New Roman" w:hAnsi="Times New Roman" w:cs="Times New Roman"/>
          <w:b/>
          <w:bCs/>
          <w:sz w:val="24"/>
          <w:szCs w:val="24"/>
        </w:rPr>
        <w:t xml:space="preserve"> (turpmāk –</w:t>
      </w:r>
      <w:r w:rsidR="00374460" w:rsidRPr="00126526">
        <w:rPr>
          <w:rFonts w:ascii="Times New Roman" w:hAnsi="Times New Roman" w:cs="Times New Roman"/>
          <w:b/>
          <w:bCs/>
          <w:sz w:val="24"/>
          <w:szCs w:val="24"/>
        </w:rPr>
        <w:t xml:space="preserve"> arī</w:t>
      </w:r>
      <w:r w:rsidRPr="00126526">
        <w:rPr>
          <w:rFonts w:ascii="Times New Roman" w:hAnsi="Times New Roman" w:cs="Times New Roman"/>
          <w:b/>
          <w:bCs/>
          <w:sz w:val="24"/>
          <w:szCs w:val="24"/>
        </w:rPr>
        <w:t xml:space="preserve"> Pakalpojums).</w:t>
      </w:r>
    </w:p>
    <w:p w14:paraId="7CB8AF16" w14:textId="45D9A117" w:rsidR="009C19E3" w:rsidRPr="00126526" w:rsidRDefault="00BE5F91" w:rsidP="00144A9E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6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Pašlaik</w:t>
      </w:r>
      <w:r w:rsidR="00374460" w:rsidRPr="00126526">
        <w:t xml:space="preserve"> </w:t>
      </w:r>
      <w:r w:rsidR="00374460" w:rsidRPr="00126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VSIA “Paula Stradiņa klīniskā universitātes slimnīca”</w:t>
      </w:r>
      <w:r w:rsidRPr="00126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pacientu ēdināšanu nodrošina ārpakalpojums (visu procesu). Ēdināšana tiek nodrošināta termopaplātēs (ēdiena porcionēšana </w:t>
      </w:r>
      <w:r w:rsidR="0074179D" w:rsidRPr="00126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Slimnīcas </w:t>
      </w:r>
      <w:r w:rsidRPr="00126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virtuves telpās). Piegāde uz nodaļām tiek nodrošināta paplāšu ratos (statīvos). </w:t>
      </w:r>
    </w:p>
    <w:p w14:paraId="4DE19AE2" w14:textId="4905D718" w:rsidR="00374460" w:rsidRPr="00126526" w:rsidRDefault="00374460" w:rsidP="0074179D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6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VSIA “Paula Stradiņa klīniskā universitātes slimnīca” plāno</w:t>
      </w:r>
      <w:r w:rsidR="00BE5F91" w:rsidRPr="00126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ka 2022.gada otrajā pusgadā tiks uzsākti darbi jauna virtuves bloka izbūvei, t.sk. esošajās virtuves telpās, jo slimnīcas virtuves telpas ir ar neatbilstošu platību un 2006.gada aprīkojumu.</w:t>
      </w:r>
      <w:r w:rsidR="00144A9E" w:rsidRPr="00126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26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Attiecīgi -</w:t>
      </w:r>
      <w:r w:rsidR="00BE5F91" w:rsidRPr="00126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remontdarbu veikšanas periodā (2022.II pusgads -2023.II pusgads) nebūs iespēju ēdien</w:t>
      </w:r>
      <w:r w:rsidRPr="00126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 gatavot Slimnīcas teritorijā un ir nepieciešams apzināt iespējas (ņemot vērā plānotos remontdarbus Slimnīcas virtuvē) ēdināšanas pakalpojuma nodrošināšanai.</w:t>
      </w:r>
    </w:p>
    <w:p w14:paraId="571B3BB9" w14:textId="793E6FB5" w:rsidR="00374460" w:rsidRPr="00126526" w:rsidRDefault="00CD4CEA" w:rsidP="003744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6526">
        <w:rPr>
          <w:rFonts w:ascii="Times New Roman" w:hAnsi="Times New Roman" w:cs="Times New Roman"/>
          <w:sz w:val="24"/>
          <w:szCs w:val="24"/>
        </w:rPr>
        <w:t>Pakalpojuma nodrošinājums līdz virtuves bloka atjaunošanai jānodrošina vidēji 600-700 pacientiem dienā</w:t>
      </w:r>
      <w:r w:rsidR="004072F5">
        <w:rPr>
          <w:rFonts w:ascii="Times New Roman" w:hAnsi="Times New Roman" w:cs="Times New Roman"/>
          <w:sz w:val="24"/>
          <w:szCs w:val="24"/>
        </w:rPr>
        <w:t>.</w:t>
      </w:r>
    </w:p>
    <w:p w14:paraId="3F5CE3F6" w14:textId="141BF387" w:rsidR="00144A9E" w:rsidRPr="00144A9E" w:rsidRDefault="00144A9E" w:rsidP="003744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6526">
        <w:rPr>
          <w:rFonts w:ascii="Times New Roman" w:hAnsi="Times New Roman" w:cs="Times New Roman"/>
          <w:noProof/>
          <w:sz w:val="24"/>
          <w:szCs w:val="24"/>
        </w:rPr>
        <w:t xml:space="preserve">Pacientu uztura vajadzības jānodrošina ar 4 </w:t>
      </w:r>
      <w:r w:rsidR="00374460" w:rsidRPr="00126526">
        <w:rPr>
          <w:rFonts w:ascii="Times New Roman" w:hAnsi="Times New Roman" w:cs="Times New Roman"/>
          <w:noProof/>
          <w:sz w:val="24"/>
          <w:szCs w:val="24"/>
        </w:rPr>
        <w:t xml:space="preserve">(četriem) </w:t>
      </w:r>
      <w:r w:rsidRPr="00126526">
        <w:rPr>
          <w:rFonts w:ascii="Times New Roman" w:hAnsi="Times New Roman" w:cs="Times New Roman"/>
          <w:noProof/>
          <w:sz w:val="24"/>
          <w:szCs w:val="24"/>
        </w:rPr>
        <w:t>slimnīcas diētu</w:t>
      </w:r>
      <w:r w:rsidRPr="00144A9E">
        <w:rPr>
          <w:rFonts w:ascii="Times New Roman" w:hAnsi="Times New Roman" w:cs="Times New Roman"/>
          <w:noProof/>
          <w:sz w:val="24"/>
          <w:szCs w:val="24"/>
        </w:rPr>
        <w:t xml:space="preserve"> veidiem – </w:t>
      </w:r>
      <w:r w:rsidRPr="00144A9E">
        <w:rPr>
          <w:rFonts w:ascii="Times New Roman" w:hAnsi="Times New Roman" w:cs="Times New Roman"/>
          <w:b/>
          <w:bCs/>
          <w:noProof/>
          <w:sz w:val="24"/>
          <w:szCs w:val="24"/>
        </w:rPr>
        <w:t>olbaltumvielu diēta, saudzējošā diēta, pusšķidrā un šķidrā diēta</w:t>
      </w:r>
      <w:r w:rsidRPr="00144A9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7A921E7" w14:textId="0C943CF1" w:rsidR="00A46F3B" w:rsidRPr="00126526" w:rsidRDefault="00144A9E" w:rsidP="00144A9E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4A9E">
        <w:rPr>
          <w:rFonts w:ascii="Times New Roman" w:hAnsi="Times New Roman" w:cs="Times New Roman"/>
          <w:noProof/>
          <w:sz w:val="24"/>
          <w:szCs w:val="24"/>
        </w:rPr>
        <w:t xml:space="preserve">Diētiskam ēdienam jābūt garšīgam, praktiski nav ierobežojumu dabīgo garšvielu lietošanai. Ēdienkartē tiek iekļauti daudzveidīgi pārtikas produkti, plašs augļu un dārzeņu klāsts.  Jāizmanto jaunās tehnoloģijas – tvaika katli, konvekcijas krāsnis, kurās gatavots ēdiens gan labi saglabā uzturvērtību, gan tiek nodrošinātas optimālas organoleptiskās </w:t>
      </w:r>
      <w:r w:rsidRPr="00126526">
        <w:rPr>
          <w:rFonts w:ascii="Times New Roman" w:hAnsi="Times New Roman" w:cs="Times New Roman"/>
          <w:noProof/>
          <w:sz w:val="24"/>
          <w:szCs w:val="24"/>
        </w:rPr>
        <w:t>īpašības (smarž</w:t>
      </w:r>
      <w:r w:rsidR="0074179D" w:rsidRPr="00126526">
        <w:rPr>
          <w:rFonts w:ascii="Times New Roman" w:hAnsi="Times New Roman" w:cs="Times New Roman"/>
          <w:noProof/>
          <w:sz w:val="24"/>
          <w:szCs w:val="24"/>
        </w:rPr>
        <w:t xml:space="preserve">a, krāsa, garša, konsistence). </w:t>
      </w:r>
      <w:r w:rsidRPr="00126526">
        <w:rPr>
          <w:rFonts w:ascii="Times New Roman" w:hAnsi="Times New Roman" w:cs="Times New Roman"/>
          <w:noProof/>
          <w:sz w:val="24"/>
          <w:szCs w:val="24"/>
        </w:rPr>
        <w:t>Zemāk norādītajās diētu formās nedēļas ēdienkartē iekļauj M</w:t>
      </w:r>
      <w:r w:rsidR="00374460" w:rsidRPr="00126526">
        <w:rPr>
          <w:rFonts w:ascii="Times New Roman" w:hAnsi="Times New Roman" w:cs="Times New Roman"/>
          <w:noProof/>
          <w:sz w:val="24"/>
          <w:szCs w:val="24"/>
        </w:rPr>
        <w:t>inistru kabineta</w:t>
      </w:r>
      <w:r w:rsidRPr="001265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74460" w:rsidRPr="00126526">
        <w:rPr>
          <w:rFonts w:ascii="Times New Roman" w:hAnsi="Times New Roman" w:cs="Times New Roman"/>
          <w:noProof/>
          <w:sz w:val="24"/>
          <w:szCs w:val="24"/>
        </w:rPr>
        <w:t xml:space="preserve">13.03.2012. </w:t>
      </w:r>
      <w:r w:rsidRPr="00126526">
        <w:rPr>
          <w:rFonts w:ascii="Times New Roman" w:hAnsi="Times New Roman" w:cs="Times New Roman"/>
          <w:noProof/>
          <w:sz w:val="24"/>
          <w:szCs w:val="24"/>
        </w:rPr>
        <w:t>noteikumos Nr. 172 “Noteikumi par uztura normām izglītības iestāžu izglītojamiem, sociālās aprūpes un sociālās rehabilitācijas institūciju klientiem un ārstniecības iestāžu pacientiem”</w:t>
      </w:r>
      <w:r w:rsidR="00A46F3B" w:rsidRPr="00126526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 w:rsidRPr="00126526">
        <w:rPr>
          <w:rFonts w:ascii="Times New Roman" w:hAnsi="Times New Roman" w:cs="Times New Roman"/>
          <w:noProof/>
          <w:sz w:val="24"/>
          <w:szCs w:val="24"/>
        </w:rPr>
        <w:t xml:space="preserve"> minēto produktu daudzumus atbilst</w:t>
      </w:r>
      <w:r w:rsidR="0074179D" w:rsidRPr="00126526">
        <w:rPr>
          <w:rFonts w:ascii="Times New Roman" w:hAnsi="Times New Roman" w:cs="Times New Roman"/>
          <w:noProof/>
          <w:sz w:val="24"/>
          <w:szCs w:val="24"/>
        </w:rPr>
        <w:t xml:space="preserve">oši konkrētās diētas specifikai, kā arī ēdināšanas pakalpojuma saņemšanā pasūtītājam (Slimnīcai) ir jāievēro </w:t>
      </w:r>
      <w:r w:rsidR="00A46F3B" w:rsidRPr="00126526">
        <w:rPr>
          <w:rFonts w:ascii="Times New Roman" w:hAnsi="Times New Roman" w:cs="Times New Roman"/>
          <w:noProof/>
          <w:sz w:val="24"/>
          <w:szCs w:val="24"/>
        </w:rPr>
        <w:t>Ministru kabineta 20.06.2017. noteikumi Nr. 353 “Prasības zaļajam publiskajam iepirkumam un to piemērošanas kārtība”</w:t>
      </w:r>
      <w:r w:rsidR="00A46F3B" w:rsidRPr="00126526"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 w:rsidR="00A46F3B" w:rsidRPr="0012652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9A23912" w14:textId="2E8692BB" w:rsidR="00144A9E" w:rsidRPr="00126526" w:rsidRDefault="00144A9E" w:rsidP="00144A9E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6526">
        <w:rPr>
          <w:rFonts w:ascii="Times New Roman" w:hAnsi="Times New Roman" w:cs="Times New Roman"/>
          <w:noProof/>
          <w:sz w:val="24"/>
          <w:szCs w:val="24"/>
        </w:rPr>
        <w:t xml:space="preserve"> Uzturvielas un enerģētiskā vērtība ēdienreizēs sadalīta fizioloģiski pareizi. Ēdienkartēs iekļauti daudzveidīgi, diētu formu prasībām atbilstoši ēdieni, kas neatkārtojas 14 dienu ietvaros. </w:t>
      </w:r>
    </w:p>
    <w:p w14:paraId="0F74462D" w14:textId="77777777" w:rsidR="00144A9E" w:rsidRPr="00126526" w:rsidRDefault="00144A9E" w:rsidP="00DC074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6526">
        <w:rPr>
          <w:rFonts w:ascii="Times New Roman" w:hAnsi="Times New Roman" w:cs="Times New Roman"/>
          <w:b/>
          <w:bCs/>
          <w:noProof/>
          <w:sz w:val="24"/>
          <w:szCs w:val="24"/>
        </w:rPr>
        <w:t>Olbaltumvielu</w:t>
      </w:r>
      <w:r w:rsidRPr="00126526">
        <w:rPr>
          <w:rFonts w:ascii="Times New Roman" w:hAnsi="Times New Roman" w:cs="Times New Roman"/>
          <w:noProof/>
          <w:sz w:val="24"/>
          <w:szCs w:val="24"/>
        </w:rPr>
        <w:t xml:space="preserve"> diēta piemērota lielākai daļai pacientu, tai skaitā pacientiem ar cukura diabētu, onkoloģiskām slimībām, sievietēm pēcdzemdību periodā, pacientiem ar augstu vielmaiņas katabolismu (imūnsupresija, apdegumi, sepse, politrauma u.c.), malnutrīcijas risku.</w:t>
      </w:r>
    </w:p>
    <w:p w14:paraId="7AB4EFA1" w14:textId="75633F1E" w:rsidR="00144A9E" w:rsidRPr="00144A9E" w:rsidRDefault="00144A9E" w:rsidP="00DC074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12652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Jānodrošina 6 </w:t>
      </w:r>
      <w:r w:rsidR="00EF05F0" w:rsidRPr="00126526">
        <w:rPr>
          <w:rFonts w:ascii="Times New Roman" w:hAnsi="Times New Roman" w:cs="Times New Roman"/>
          <w:noProof/>
          <w:sz w:val="24"/>
          <w:szCs w:val="24"/>
        </w:rPr>
        <w:t xml:space="preserve">(sešas) </w:t>
      </w:r>
      <w:r w:rsidRPr="00126526">
        <w:rPr>
          <w:rFonts w:ascii="Times New Roman" w:hAnsi="Times New Roman" w:cs="Times New Roman"/>
          <w:noProof/>
          <w:sz w:val="24"/>
          <w:szCs w:val="24"/>
          <w:lang w:val="ru-RU"/>
        </w:rPr>
        <w:t>ēdienreizes (brokastis, otrās brokastis, pusdienas, launags, vakariņas, otrās vakariņas). Uzturvielas un enerģētiskā vērtība ēdienreizēs tiek sadalīta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fizioloģiski pareizi, brokastīs uzņemot 20-25%, otrajās brokastīs – 5-10%, pusdienās – 30-35%, vakariņās – 15-20%, otrajās vakariņās – 5-10% no dienas normas.</w:t>
      </w:r>
    </w:p>
    <w:p w14:paraId="388D578C" w14:textId="1BD6AF2F" w:rsidR="00144A9E" w:rsidRPr="00DC0741" w:rsidRDefault="00144A9E" w:rsidP="00DC074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>Piemēram, brokastīs – putras, pusdienās – zupa, otrais ēdiens, dārzeņu salāti – vismaz 150</w:t>
      </w:r>
      <w:r w:rsidRPr="00144A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g, launagā – veselīga uzkoda (piemēram, auzu mafins un tēja/kafija), otrajās vakariņās – uzkoda 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>(piemēram, sviestmaizes ar sieru, olu</w:t>
      </w:r>
      <w:r w:rsidRPr="00144A9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>zaļumiem, gurķi, tomātu un jogurts)</w:t>
      </w:r>
      <w:r w:rsidR="00DC074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Gatavošanas veids – vārīšana, sautēšana, cepšana cepeškrāsnī. Ieteicams izmantot konvekcijas metodi. </w:t>
      </w:r>
    </w:p>
    <w:p w14:paraId="67B9FC1E" w14:textId="77777777" w:rsidR="00DC0741" w:rsidRPr="00144A9E" w:rsidRDefault="00DC0741" w:rsidP="00DC074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21646D61" w14:textId="77777777" w:rsidR="00144A9E" w:rsidRPr="00144A9E" w:rsidRDefault="00144A9E" w:rsidP="00D8568F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4A9E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Saudzējošā diēta </w:t>
      </w:r>
      <w:r w:rsidRPr="00144A9E">
        <w:rPr>
          <w:rFonts w:ascii="Times New Roman" w:hAnsi="Times New Roman" w:cs="Times New Roman"/>
          <w:noProof/>
          <w:sz w:val="24"/>
          <w:szCs w:val="24"/>
        </w:rPr>
        <w:t xml:space="preserve">piemērota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liel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>ā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kajai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da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>ļ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ai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gastroenterolo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>ģ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isko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pacientu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kardiolo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>ģ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iskajiem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urolo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>ģ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iskiem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pacientiem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p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>ē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oper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>ā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cij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>ā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kur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>ā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s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nav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skarts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gremo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>š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anas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144A9E">
        <w:rPr>
          <w:rFonts w:ascii="Times New Roman" w:hAnsi="Times New Roman" w:cs="Times New Roman"/>
          <w:noProof/>
          <w:sz w:val="24"/>
          <w:szCs w:val="24"/>
          <w:lang w:val="en-US"/>
        </w:rPr>
        <w:t>trakts</w:t>
      </w:r>
      <w:r w:rsidRPr="00144A9E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  <w:r w:rsidRPr="00144A9E">
        <w:rPr>
          <w:rFonts w:ascii="Times New Roman" w:hAnsi="Times New Roman" w:cs="Times New Roman"/>
          <w:noProof/>
          <w:sz w:val="24"/>
          <w:szCs w:val="24"/>
        </w:rPr>
        <w:t xml:space="preserve"> Ēdiens ķīmiski, termiski, mehāniski saudzējošs. Jānodrošina 4 ēdienreizes (brokastis, pusdienas, vakariņas, otrās vakariņas).</w:t>
      </w:r>
    </w:p>
    <w:p w14:paraId="24C4DBB6" w14:textId="7BA10696" w:rsidR="00144A9E" w:rsidRPr="00144A9E" w:rsidRDefault="00144A9E" w:rsidP="00DC074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4A9E">
        <w:rPr>
          <w:rFonts w:ascii="Times New Roman" w:hAnsi="Times New Roman" w:cs="Times New Roman"/>
          <w:b/>
          <w:bCs/>
          <w:noProof/>
          <w:sz w:val="24"/>
          <w:szCs w:val="24"/>
        </w:rPr>
        <w:t>Pusšķidrā diēta</w:t>
      </w:r>
      <w:r w:rsidRPr="00144A9E">
        <w:rPr>
          <w:rFonts w:ascii="Times New Roman" w:hAnsi="Times New Roman" w:cs="Times New Roman"/>
          <w:noProof/>
          <w:sz w:val="24"/>
          <w:szCs w:val="24"/>
        </w:rPr>
        <w:t xml:space="preserve"> –  6 </w:t>
      </w:r>
      <w:r w:rsidR="00EF05F0">
        <w:rPr>
          <w:rFonts w:ascii="Times New Roman" w:hAnsi="Times New Roman" w:cs="Times New Roman"/>
          <w:noProof/>
          <w:sz w:val="24"/>
          <w:szCs w:val="24"/>
        </w:rPr>
        <w:t xml:space="preserve">(sešas) </w:t>
      </w:r>
      <w:r w:rsidRPr="00144A9E">
        <w:rPr>
          <w:rFonts w:ascii="Times New Roman" w:hAnsi="Times New Roman" w:cs="Times New Roman"/>
          <w:noProof/>
          <w:sz w:val="24"/>
          <w:szCs w:val="24"/>
        </w:rPr>
        <w:t>ēdienreizes (brokastis, otrās brokastis, pusdienas, launags, vakariņas, otrās vakariņas). Uzturvielas un enerģētiskā vērtība ēdienreizēs tiek sadalīta fizioloģiski pareizi, brokastīs uzņemot 20-25%, otrajās brokastīs – 5-10%, pusdienās – 30-35%, vakariņās – 15-20%, otrajās vakariņās – 5-10% no dienas normas. Piemēram, pusdienās – biezzupa ar gaļu vai dārzeņu biezenis ar gaļas biezeni.</w:t>
      </w:r>
    </w:p>
    <w:p w14:paraId="2F2D94CF" w14:textId="77777777" w:rsidR="00144A9E" w:rsidRPr="00144A9E" w:rsidRDefault="00144A9E" w:rsidP="00DC074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4A9E">
        <w:rPr>
          <w:rFonts w:ascii="Times New Roman" w:hAnsi="Times New Roman" w:cs="Times New Roman"/>
          <w:noProof/>
          <w:sz w:val="24"/>
          <w:szCs w:val="24"/>
        </w:rPr>
        <w:t>Ēdienam pusšķidra homogēna konsistence (ēdiens blendēts, caurberzts) – pusšķidras, homogēnas putras, biezeņzupas, gaļas, sakņu biezeņi (ierobežoti dārzeņi, graudaugi kuros liels šķiedrvielu daudzums), omlete, skābpiena produkti (pusšķidra homogēna biezpiena masa, lakto, kefīrs, paniņas, jogurti ar piedevām/ ar palielinātu olbaltumvielu daudzumu) termiski apstrādātu augļu biezeņi (piem. ābolu).</w:t>
      </w:r>
    </w:p>
    <w:p w14:paraId="02B28BD1" w14:textId="77777777" w:rsidR="00144A9E" w:rsidRPr="00144A9E" w:rsidRDefault="00144A9E" w:rsidP="000C6E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6AA7066" w14:textId="77777777" w:rsidR="00144A9E" w:rsidRPr="00144A9E" w:rsidRDefault="00144A9E" w:rsidP="000C6E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44A9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Šķidrā diēta – </w:t>
      </w:r>
    </w:p>
    <w:p w14:paraId="23A6B7A0" w14:textId="77777777" w:rsidR="00144A9E" w:rsidRPr="00144A9E" w:rsidRDefault="00144A9E" w:rsidP="000C6E9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4A9E">
        <w:rPr>
          <w:rFonts w:ascii="Times New Roman" w:hAnsi="Times New Roman" w:cs="Times New Roman"/>
          <w:noProof/>
          <w:sz w:val="24"/>
          <w:szCs w:val="24"/>
        </w:rPr>
        <w:t>•</w:t>
      </w:r>
      <w:r w:rsidRPr="00144A9E">
        <w:rPr>
          <w:rFonts w:ascii="Times New Roman" w:hAnsi="Times New Roman" w:cs="Times New Roman"/>
          <w:noProof/>
          <w:sz w:val="24"/>
          <w:szCs w:val="24"/>
        </w:rPr>
        <w:tab/>
        <w:t xml:space="preserve">pirmā diētas forma pēc operācijām kuņģa-zarnu traktā </w:t>
      </w:r>
    </w:p>
    <w:p w14:paraId="4DDF32F1" w14:textId="52B61681" w:rsidR="00144A9E" w:rsidRPr="00126526" w:rsidRDefault="00144A9E" w:rsidP="000C6E9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4A9E">
        <w:rPr>
          <w:rFonts w:ascii="Times New Roman" w:hAnsi="Times New Roman" w:cs="Times New Roman"/>
          <w:noProof/>
          <w:sz w:val="24"/>
          <w:szCs w:val="24"/>
        </w:rPr>
        <w:t>•</w:t>
      </w:r>
      <w:r w:rsidRPr="00144A9E">
        <w:rPr>
          <w:rFonts w:ascii="Times New Roman" w:hAnsi="Times New Roman" w:cs="Times New Roman"/>
          <w:noProof/>
          <w:sz w:val="24"/>
          <w:szCs w:val="24"/>
        </w:rPr>
        <w:tab/>
        <w:t>rīš</w:t>
      </w:r>
      <w:r w:rsidR="006F0429">
        <w:rPr>
          <w:rFonts w:ascii="Times New Roman" w:hAnsi="Times New Roman" w:cs="Times New Roman"/>
          <w:noProof/>
          <w:sz w:val="24"/>
          <w:szCs w:val="24"/>
        </w:rPr>
        <w:t>a</w:t>
      </w:r>
      <w:r w:rsidRPr="00144A9E">
        <w:rPr>
          <w:rFonts w:ascii="Times New Roman" w:hAnsi="Times New Roman" w:cs="Times New Roman"/>
          <w:noProof/>
          <w:sz w:val="24"/>
          <w:szCs w:val="24"/>
        </w:rPr>
        <w:t xml:space="preserve">nas </w:t>
      </w:r>
      <w:r w:rsidRPr="00126526">
        <w:rPr>
          <w:rFonts w:ascii="Times New Roman" w:hAnsi="Times New Roman" w:cs="Times New Roman"/>
          <w:noProof/>
          <w:sz w:val="24"/>
          <w:szCs w:val="24"/>
        </w:rPr>
        <w:t>traucējumi, neiroloģija</w:t>
      </w:r>
    </w:p>
    <w:p w14:paraId="06B21BC6" w14:textId="241E898E" w:rsidR="00144A9E" w:rsidRPr="00126526" w:rsidRDefault="00EF05F0" w:rsidP="000C6E9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6526">
        <w:rPr>
          <w:rFonts w:ascii="Times New Roman" w:hAnsi="Times New Roman" w:cs="Times New Roman"/>
          <w:noProof/>
          <w:sz w:val="24"/>
          <w:szCs w:val="24"/>
        </w:rPr>
        <w:t xml:space="preserve">Jānodrošina </w:t>
      </w:r>
      <w:r w:rsidR="00144A9E" w:rsidRPr="00126526">
        <w:rPr>
          <w:rFonts w:ascii="Times New Roman" w:hAnsi="Times New Roman" w:cs="Times New Roman"/>
          <w:noProof/>
          <w:sz w:val="24"/>
          <w:szCs w:val="24"/>
        </w:rPr>
        <w:t xml:space="preserve">6 </w:t>
      </w:r>
      <w:r w:rsidRPr="00126526">
        <w:rPr>
          <w:rFonts w:ascii="Times New Roman" w:hAnsi="Times New Roman" w:cs="Times New Roman"/>
          <w:noProof/>
          <w:sz w:val="24"/>
          <w:szCs w:val="24"/>
        </w:rPr>
        <w:t xml:space="preserve">(sešas) </w:t>
      </w:r>
      <w:r w:rsidR="00144A9E" w:rsidRPr="00126526">
        <w:rPr>
          <w:rFonts w:ascii="Times New Roman" w:hAnsi="Times New Roman" w:cs="Times New Roman"/>
          <w:noProof/>
          <w:sz w:val="24"/>
          <w:szCs w:val="24"/>
        </w:rPr>
        <w:t>ēdienreizes (brokastis, otrās brokastis, pusdienas, launags, vakariņas, otrās vakariņas).</w:t>
      </w:r>
    </w:p>
    <w:p w14:paraId="6EDE1FC7" w14:textId="2C9016FA" w:rsidR="00144A9E" w:rsidRPr="00126526" w:rsidRDefault="00144A9E" w:rsidP="00D0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6526">
        <w:rPr>
          <w:rFonts w:ascii="Times New Roman" w:hAnsi="Times New Roman" w:cs="Times New Roman"/>
          <w:noProof/>
          <w:sz w:val="24"/>
          <w:szCs w:val="24"/>
        </w:rPr>
        <w:t>Ēdienam jābūt šķidram, homogēnam, nedrīkst saturēt sēklas, graudus, pārtikas gabaliņus. Ietverti tādi ēdieni kā tēja, netrekns buljons, tume bez piena, skābpiena dzērieni (jogurti ar piedevām/ ar palielinātu olbaltumvielu daudzumu, kefīrs, lakto), augļu sulas dzērieni. Iekļaut nesaldinātus dzērienus. Lai palielinātu ēdiena olbaltumvielu daudzumu, ēdienam papildus pievieno piena vai sojas vai olu pulveri.</w:t>
      </w:r>
    </w:p>
    <w:p w14:paraId="2ECE42E6" w14:textId="77777777" w:rsidR="00D00B46" w:rsidRPr="00126526" w:rsidRDefault="00D00B46" w:rsidP="00D00B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5D94D61" w14:textId="1072F35C" w:rsidR="00CD4CEA" w:rsidRPr="00126526" w:rsidRDefault="009C19E3" w:rsidP="0074179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6526">
        <w:rPr>
          <w:rFonts w:ascii="Times New Roman" w:hAnsi="Times New Roman" w:cs="Times New Roman"/>
          <w:sz w:val="24"/>
          <w:szCs w:val="24"/>
          <w:u w:val="single"/>
        </w:rPr>
        <w:t>Šobrīd veicam tirgus izpēti iespējamam</w:t>
      </w:r>
      <w:r w:rsidR="006F0429" w:rsidRPr="00126526">
        <w:rPr>
          <w:rFonts w:ascii="Times New Roman" w:hAnsi="Times New Roman" w:cs="Times New Roman"/>
          <w:sz w:val="24"/>
          <w:szCs w:val="24"/>
          <w:u w:val="single"/>
        </w:rPr>
        <w:t xml:space="preserve"> ēdināšanas</w:t>
      </w:r>
      <w:r w:rsidRPr="00126526">
        <w:rPr>
          <w:rFonts w:ascii="Times New Roman" w:hAnsi="Times New Roman" w:cs="Times New Roman"/>
          <w:sz w:val="24"/>
          <w:szCs w:val="24"/>
          <w:u w:val="single"/>
        </w:rPr>
        <w:t xml:space="preserve"> p</w:t>
      </w:r>
      <w:r w:rsidR="00CD4CEA" w:rsidRPr="00126526">
        <w:rPr>
          <w:rFonts w:ascii="Times New Roman" w:hAnsi="Times New Roman" w:cs="Times New Roman"/>
          <w:sz w:val="24"/>
          <w:szCs w:val="24"/>
          <w:u w:val="single"/>
        </w:rPr>
        <w:t>akalpojum</w:t>
      </w:r>
      <w:r w:rsidR="006F0429" w:rsidRPr="00126526">
        <w:rPr>
          <w:rFonts w:ascii="Times New Roman" w:hAnsi="Times New Roman" w:cs="Times New Roman"/>
          <w:sz w:val="24"/>
          <w:szCs w:val="24"/>
          <w:u w:val="single"/>
        </w:rPr>
        <w:t>am (plānotais termiņš – 24 mēneši, ar iespēju pagarināt līguma darbības termiņu uz vēl 12 mēnešiem)</w:t>
      </w:r>
      <w:r w:rsidR="00CD4CEA" w:rsidRPr="00126526">
        <w:rPr>
          <w:rFonts w:ascii="Times New Roman" w:hAnsi="Times New Roman" w:cs="Times New Roman"/>
          <w:sz w:val="24"/>
          <w:szCs w:val="24"/>
          <w:u w:val="single"/>
        </w:rPr>
        <w:t xml:space="preserve"> – ēdiena gatavošana ārpus</w:t>
      </w:r>
      <w:r w:rsidR="00AC088A" w:rsidRPr="001265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179D" w:rsidRPr="00126526">
        <w:rPr>
          <w:rFonts w:ascii="Times New Roman" w:hAnsi="Times New Roman" w:cs="Times New Roman"/>
          <w:sz w:val="24"/>
          <w:szCs w:val="24"/>
          <w:u w:val="single"/>
        </w:rPr>
        <w:t xml:space="preserve">Slimnīcas telpām uz </w:t>
      </w:r>
      <w:r w:rsidR="00AC088A" w:rsidRPr="00126526">
        <w:rPr>
          <w:rFonts w:ascii="Times New Roman" w:hAnsi="Times New Roman" w:cs="Times New Roman"/>
          <w:sz w:val="24"/>
          <w:szCs w:val="24"/>
          <w:u w:val="single"/>
        </w:rPr>
        <w:t>visu virtuves bloka atjaunošanas laiku</w:t>
      </w:r>
      <w:r w:rsidR="00144A9E" w:rsidRPr="001265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C7A24C7" w14:textId="61063113" w:rsidR="00AA3B89" w:rsidRPr="00126526" w:rsidRDefault="00EF05F0" w:rsidP="00144A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526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CD4CEA" w:rsidRPr="00126526">
        <w:rPr>
          <w:rFonts w:ascii="Times New Roman" w:hAnsi="Times New Roman" w:cs="Times New Roman"/>
          <w:b/>
          <w:sz w:val="24"/>
          <w:szCs w:val="24"/>
          <w:u w:val="single"/>
        </w:rPr>
        <w:t>autājumi</w:t>
      </w:r>
      <w:r w:rsidRPr="00126526">
        <w:rPr>
          <w:rFonts w:ascii="Times New Roman" w:hAnsi="Times New Roman" w:cs="Times New Roman"/>
          <w:b/>
          <w:sz w:val="24"/>
          <w:szCs w:val="24"/>
          <w:u w:val="single"/>
        </w:rPr>
        <w:t>, uz kuriem</w:t>
      </w:r>
      <w:r w:rsidRPr="00126526">
        <w:rPr>
          <w:b/>
          <w:u w:val="single"/>
        </w:rPr>
        <w:t xml:space="preserve"> </w:t>
      </w:r>
      <w:r w:rsidRPr="00126526">
        <w:rPr>
          <w:rFonts w:ascii="Times New Roman" w:hAnsi="Times New Roman" w:cs="Times New Roman"/>
          <w:b/>
          <w:sz w:val="24"/>
          <w:szCs w:val="24"/>
          <w:u w:val="single"/>
        </w:rPr>
        <w:t xml:space="preserve">VSIA “Paula Stradiņa klīniskā universitātes slimnīca” </w:t>
      </w:r>
      <w:r w:rsidR="001B3BAF" w:rsidRPr="00126526">
        <w:rPr>
          <w:rFonts w:ascii="Times New Roman" w:hAnsi="Times New Roman" w:cs="Times New Roman"/>
          <w:b/>
          <w:sz w:val="24"/>
          <w:szCs w:val="24"/>
          <w:u w:val="single"/>
        </w:rPr>
        <w:t xml:space="preserve">tirgus izpētes laikā </w:t>
      </w:r>
      <w:r w:rsidRPr="00126526">
        <w:rPr>
          <w:rFonts w:ascii="Times New Roman" w:hAnsi="Times New Roman" w:cs="Times New Roman"/>
          <w:b/>
          <w:sz w:val="24"/>
          <w:szCs w:val="24"/>
          <w:u w:val="single"/>
        </w:rPr>
        <w:t>vēlas saņemt atbildes:</w:t>
      </w:r>
    </w:p>
    <w:p w14:paraId="372503A8" w14:textId="6AAFE396" w:rsidR="00CF0DE2" w:rsidRPr="00126526" w:rsidRDefault="00CF0DE2" w:rsidP="004E37C1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526">
        <w:rPr>
          <w:rFonts w:ascii="Times New Roman" w:hAnsi="Times New Roman" w:cs="Times New Roman"/>
          <w:sz w:val="24"/>
          <w:szCs w:val="24"/>
        </w:rPr>
        <w:t xml:space="preserve">Kā pretendents </w:t>
      </w:r>
      <w:r w:rsidRPr="00126526">
        <w:rPr>
          <w:rFonts w:ascii="Times New Roman" w:hAnsi="Times New Roman" w:cs="Times New Roman"/>
          <w:sz w:val="24"/>
          <w:szCs w:val="24"/>
        </w:rPr>
        <w:t>vērtē plānoto līguma darbības termiņu –</w:t>
      </w:r>
      <w:r w:rsidR="00EF05F0" w:rsidRPr="00126526">
        <w:rPr>
          <w:rFonts w:ascii="Times New Roman" w:hAnsi="Times New Roman" w:cs="Times New Roman"/>
          <w:sz w:val="24"/>
          <w:szCs w:val="24"/>
        </w:rPr>
        <w:t xml:space="preserve"> 24 mēneši, ar iespēju pagarināt līguma darbības termiņu uz vēl 12 mēnešiem</w:t>
      </w:r>
      <w:r w:rsidRPr="0012652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4E1DC61" w14:textId="762EC81D" w:rsidR="00CD4CEA" w:rsidRPr="00126526" w:rsidRDefault="00AA3B89" w:rsidP="004E37C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526">
        <w:rPr>
          <w:rFonts w:ascii="Times New Roman" w:hAnsi="Times New Roman" w:cs="Times New Roman"/>
          <w:sz w:val="24"/>
          <w:szCs w:val="24"/>
        </w:rPr>
        <w:t>Vai</w:t>
      </w:r>
      <w:r w:rsidR="00AC088A" w:rsidRPr="00126526">
        <w:rPr>
          <w:rFonts w:ascii="Times New Roman" w:hAnsi="Times New Roman" w:cs="Times New Roman"/>
          <w:sz w:val="24"/>
          <w:szCs w:val="24"/>
        </w:rPr>
        <w:t xml:space="preserve"> virtuves remontdarbu laikā</w:t>
      </w:r>
      <w:r w:rsidRPr="00126526">
        <w:rPr>
          <w:rFonts w:ascii="Times New Roman" w:hAnsi="Times New Roman" w:cs="Times New Roman"/>
          <w:sz w:val="24"/>
          <w:szCs w:val="24"/>
        </w:rPr>
        <w:t xml:space="preserve"> </w:t>
      </w:r>
      <w:r w:rsidR="0074179D" w:rsidRPr="00126526">
        <w:rPr>
          <w:rFonts w:ascii="Times New Roman" w:hAnsi="Times New Roman" w:cs="Times New Roman"/>
          <w:sz w:val="24"/>
          <w:szCs w:val="24"/>
        </w:rPr>
        <w:t xml:space="preserve">pakalpojuma sniedzējs ēdienu piegādā </w:t>
      </w:r>
      <w:r w:rsidRPr="00126526">
        <w:rPr>
          <w:rFonts w:ascii="Times New Roman" w:hAnsi="Times New Roman" w:cs="Times New Roman"/>
          <w:sz w:val="24"/>
          <w:szCs w:val="24"/>
        </w:rPr>
        <w:t xml:space="preserve">porcijās, vai nepieciešams </w:t>
      </w:r>
      <w:r w:rsidR="0074179D" w:rsidRPr="00126526">
        <w:rPr>
          <w:rFonts w:ascii="Times New Roman" w:hAnsi="Times New Roman" w:cs="Times New Roman"/>
          <w:sz w:val="24"/>
          <w:szCs w:val="24"/>
        </w:rPr>
        <w:t xml:space="preserve">to </w:t>
      </w:r>
      <w:r w:rsidRPr="00126526">
        <w:rPr>
          <w:rFonts w:ascii="Times New Roman" w:hAnsi="Times New Roman" w:cs="Times New Roman"/>
          <w:sz w:val="24"/>
          <w:szCs w:val="24"/>
        </w:rPr>
        <w:t>porcionēt uz vietas?</w:t>
      </w:r>
      <w:r w:rsidR="00514B44" w:rsidRPr="00126526">
        <w:rPr>
          <w:rFonts w:ascii="Times New Roman" w:hAnsi="Times New Roman" w:cs="Times New Roman"/>
          <w:sz w:val="24"/>
          <w:szCs w:val="24"/>
        </w:rPr>
        <w:t xml:space="preserve"> </w:t>
      </w:r>
      <w:r w:rsidR="00514B44" w:rsidRPr="00126526">
        <w:rPr>
          <w:rFonts w:ascii="Times New Roman" w:eastAsia="Times New Roman" w:hAnsi="Times New Roman" w:cs="Times New Roman"/>
          <w:sz w:val="24"/>
          <w:szCs w:val="24"/>
        </w:rPr>
        <w:t>Ja jā, cik m</w:t>
      </w:r>
      <w:r w:rsidR="00514B44" w:rsidRPr="001265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14B44" w:rsidRPr="00126526">
        <w:rPr>
          <w:rFonts w:ascii="Times New Roman" w:eastAsia="Times New Roman" w:hAnsi="Times New Roman" w:cs="Times New Roman"/>
          <w:sz w:val="24"/>
          <w:szCs w:val="24"/>
        </w:rPr>
        <w:t xml:space="preserve"> un kādi apstākļi</w:t>
      </w:r>
      <w:r w:rsidR="0074179D" w:rsidRPr="00126526">
        <w:rPr>
          <w:rFonts w:ascii="Times New Roman" w:eastAsia="Times New Roman" w:hAnsi="Times New Roman" w:cs="Times New Roman"/>
          <w:sz w:val="24"/>
          <w:szCs w:val="24"/>
        </w:rPr>
        <w:t xml:space="preserve"> Slimnīcai</w:t>
      </w:r>
      <w:r w:rsidR="00514B44" w:rsidRPr="00126526">
        <w:rPr>
          <w:rFonts w:ascii="Times New Roman" w:eastAsia="Times New Roman" w:hAnsi="Times New Roman" w:cs="Times New Roman"/>
          <w:sz w:val="24"/>
          <w:szCs w:val="24"/>
        </w:rPr>
        <w:t xml:space="preserve"> jānodrošina?</w:t>
      </w:r>
    </w:p>
    <w:p w14:paraId="17D05945" w14:textId="291A92E1" w:rsidR="00AA3B89" w:rsidRPr="00126526" w:rsidRDefault="00AA3B89" w:rsidP="004E37C1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526">
        <w:rPr>
          <w:rFonts w:ascii="Times New Roman" w:hAnsi="Times New Roman" w:cs="Times New Roman"/>
          <w:sz w:val="24"/>
          <w:szCs w:val="24"/>
        </w:rPr>
        <w:t>Kā</w:t>
      </w:r>
      <w:r w:rsidR="001B3BAF" w:rsidRPr="00126526">
        <w:rPr>
          <w:rFonts w:ascii="Times New Roman" w:hAnsi="Times New Roman" w:cs="Times New Roman"/>
          <w:sz w:val="24"/>
          <w:szCs w:val="24"/>
        </w:rPr>
        <w:t xml:space="preserve"> ēdiena piegādei</w:t>
      </w:r>
      <w:r w:rsidRPr="00126526">
        <w:rPr>
          <w:rFonts w:ascii="Times New Roman" w:hAnsi="Times New Roman" w:cs="Times New Roman"/>
          <w:sz w:val="24"/>
          <w:szCs w:val="24"/>
        </w:rPr>
        <w:t xml:space="preserve"> nodrošinās atbilstoš</w:t>
      </w:r>
      <w:r w:rsidR="00AC088A" w:rsidRPr="00126526">
        <w:rPr>
          <w:rFonts w:ascii="Times New Roman" w:hAnsi="Times New Roman" w:cs="Times New Roman"/>
          <w:sz w:val="24"/>
          <w:szCs w:val="24"/>
        </w:rPr>
        <w:t>u</w:t>
      </w:r>
      <w:r w:rsidRPr="00126526">
        <w:rPr>
          <w:rFonts w:ascii="Times New Roman" w:hAnsi="Times New Roman" w:cs="Times New Roman"/>
          <w:sz w:val="24"/>
          <w:szCs w:val="24"/>
        </w:rPr>
        <w:t xml:space="preserve"> temperatūru</w:t>
      </w:r>
      <w:r w:rsidR="00AC088A" w:rsidRPr="00126526">
        <w:rPr>
          <w:rFonts w:ascii="Times New Roman" w:hAnsi="Times New Roman" w:cs="Times New Roman"/>
          <w:sz w:val="24"/>
          <w:szCs w:val="24"/>
        </w:rPr>
        <w:t xml:space="preserve">, īpaši ziemas apstākļos? </w:t>
      </w:r>
    </w:p>
    <w:p w14:paraId="57536C75" w14:textId="4071A276" w:rsidR="00AA3B89" w:rsidRPr="00126526" w:rsidRDefault="00AA3B89" w:rsidP="004E37C1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526">
        <w:rPr>
          <w:rFonts w:ascii="Times New Roman" w:hAnsi="Times New Roman" w:cs="Times New Roman"/>
          <w:sz w:val="24"/>
          <w:szCs w:val="24"/>
        </w:rPr>
        <w:t xml:space="preserve">Ja </w:t>
      </w:r>
      <w:r w:rsidR="001B3BAF" w:rsidRPr="00126526">
        <w:rPr>
          <w:rFonts w:ascii="Times New Roman" w:hAnsi="Times New Roman" w:cs="Times New Roman"/>
          <w:sz w:val="24"/>
          <w:szCs w:val="24"/>
        </w:rPr>
        <w:t>Slimnīca sadalītu ēdināšanas pakalpojuma saņemšanu</w:t>
      </w:r>
      <w:r w:rsidRPr="00126526">
        <w:rPr>
          <w:rFonts w:ascii="Times New Roman" w:hAnsi="Times New Roman" w:cs="Times New Roman"/>
          <w:sz w:val="24"/>
          <w:szCs w:val="24"/>
        </w:rPr>
        <w:t xml:space="preserve"> pa korpusiem, vai </w:t>
      </w:r>
      <w:r w:rsidR="001B3BAF" w:rsidRPr="00126526">
        <w:rPr>
          <w:rFonts w:ascii="Times New Roman" w:hAnsi="Times New Roman" w:cs="Times New Roman"/>
          <w:sz w:val="24"/>
          <w:szCs w:val="24"/>
        </w:rPr>
        <w:t xml:space="preserve">šādi nosacījumi būtu akceptējami (vai </w:t>
      </w:r>
      <w:r w:rsidRPr="00126526">
        <w:rPr>
          <w:rFonts w:ascii="Times New Roman" w:hAnsi="Times New Roman" w:cs="Times New Roman"/>
          <w:sz w:val="24"/>
          <w:szCs w:val="24"/>
        </w:rPr>
        <w:t xml:space="preserve">var nodrošināt </w:t>
      </w:r>
      <w:r w:rsidR="001B3BAF" w:rsidRPr="00126526">
        <w:rPr>
          <w:rFonts w:ascii="Times New Roman" w:hAnsi="Times New Roman" w:cs="Times New Roman"/>
          <w:sz w:val="24"/>
          <w:szCs w:val="24"/>
        </w:rPr>
        <w:t>mazāku skaitu porcijas, apm</w:t>
      </w:r>
      <w:r w:rsidRPr="00126526">
        <w:rPr>
          <w:rFonts w:ascii="Times New Roman" w:hAnsi="Times New Roman" w:cs="Times New Roman"/>
          <w:sz w:val="24"/>
          <w:szCs w:val="24"/>
        </w:rPr>
        <w:t>.200 porcijas</w:t>
      </w:r>
      <w:r w:rsidR="00D00B46" w:rsidRPr="00126526">
        <w:rPr>
          <w:rFonts w:ascii="Times New Roman" w:hAnsi="Times New Roman" w:cs="Times New Roman"/>
          <w:sz w:val="24"/>
          <w:szCs w:val="24"/>
        </w:rPr>
        <w:t xml:space="preserve"> vienā ēdienreizē</w:t>
      </w:r>
      <w:r w:rsidR="001B3BAF" w:rsidRPr="00126526">
        <w:rPr>
          <w:rFonts w:ascii="Times New Roman" w:hAnsi="Times New Roman" w:cs="Times New Roman"/>
          <w:sz w:val="24"/>
          <w:szCs w:val="24"/>
        </w:rPr>
        <w:t>)</w:t>
      </w:r>
      <w:r w:rsidRPr="00126526">
        <w:rPr>
          <w:rFonts w:ascii="Times New Roman" w:hAnsi="Times New Roman" w:cs="Times New Roman"/>
          <w:sz w:val="24"/>
          <w:szCs w:val="24"/>
        </w:rPr>
        <w:t>?</w:t>
      </w:r>
    </w:p>
    <w:p w14:paraId="485290C2" w14:textId="7F803E73" w:rsidR="007244EF" w:rsidRPr="00126526" w:rsidRDefault="00514B44" w:rsidP="004E37C1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526">
        <w:rPr>
          <w:rFonts w:ascii="Times New Roman" w:hAnsi="Times New Roman" w:cs="Times New Roman"/>
          <w:sz w:val="24"/>
          <w:szCs w:val="24"/>
        </w:rPr>
        <w:t>Vai var nodrošināt n</w:t>
      </w:r>
      <w:r w:rsidR="00AA3B89" w:rsidRPr="00126526">
        <w:rPr>
          <w:rFonts w:ascii="Times New Roman" w:hAnsi="Times New Roman" w:cs="Times New Roman"/>
          <w:sz w:val="24"/>
          <w:szCs w:val="24"/>
        </w:rPr>
        <w:t>oteiktas diētas formas</w:t>
      </w:r>
      <w:r w:rsidR="001B3BAF" w:rsidRPr="00126526">
        <w:t xml:space="preserve"> (</w:t>
      </w:r>
      <w:r w:rsidR="001B3BAF" w:rsidRPr="00126526">
        <w:rPr>
          <w:rFonts w:ascii="Times New Roman" w:hAnsi="Times New Roman" w:cs="Times New Roman"/>
          <w:sz w:val="24"/>
          <w:szCs w:val="24"/>
        </w:rPr>
        <w:t>olbaltumvielu diēta, saudzējošā diēta, pusšķidrā un šķidrā diēta)</w:t>
      </w:r>
      <w:r w:rsidRPr="00126526">
        <w:rPr>
          <w:rFonts w:ascii="Times New Roman" w:hAnsi="Times New Roman" w:cs="Times New Roman"/>
          <w:sz w:val="24"/>
          <w:szCs w:val="24"/>
        </w:rPr>
        <w:t>?</w:t>
      </w:r>
      <w:r w:rsidR="00AA3B89" w:rsidRPr="001265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C56BE" w14:textId="231A141B" w:rsidR="007244EF" w:rsidRPr="00126526" w:rsidRDefault="001B3BAF" w:rsidP="004E37C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526">
        <w:rPr>
          <w:rFonts w:ascii="Times New Roman" w:eastAsia="Times New Roman" w:hAnsi="Times New Roman" w:cs="Times New Roman"/>
          <w:sz w:val="24"/>
          <w:szCs w:val="24"/>
        </w:rPr>
        <w:t>Vai pakalpojuma sniedzēja rīcībā</w:t>
      </w:r>
      <w:r w:rsidR="007244EF" w:rsidRPr="00126526">
        <w:rPr>
          <w:rFonts w:ascii="Times New Roman" w:eastAsia="Times New Roman" w:hAnsi="Times New Roman" w:cs="Times New Roman"/>
          <w:sz w:val="24"/>
          <w:szCs w:val="24"/>
        </w:rPr>
        <w:t xml:space="preserve"> būtu paplātes, vai </w:t>
      </w:r>
      <w:r w:rsidRPr="00126526">
        <w:rPr>
          <w:rFonts w:ascii="Times New Roman" w:eastAsia="Times New Roman" w:hAnsi="Times New Roman" w:cs="Times New Roman"/>
          <w:sz w:val="24"/>
          <w:szCs w:val="24"/>
        </w:rPr>
        <w:t xml:space="preserve">arī </w:t>
      </w:r>
      <w:r w:rsidR="007244EF" w:rsidRPr="00126526">
        <w:rPr>
          <w:rFonts w:ascii="Times New Roman" w:eastAsia="Times New Roman" w:hAnsi="Times New Roman" w:cs="Times New Roman"/>
          <w:sz w:val="24"/>
          <w:szCs w:val="24"/>
        </w:rPr>
        <w:t>var piedāvāt kādu citu risinājumu?</w:t>
      </w:r>
    </w:p>
    <w:p w14:paraId="73687416" w14:textId="7BB2374D" w:rsidR="007244EF" w:rsidRPr="00126526" w:rsidRDefault="00D00B46" w:rsidP="004E37C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526">
        <w:rPr>
          <w:rFonts w:ascii="Times New Roman" w:eastAsia="Times New Roman" w:hAnsi="Times New Roman" w:cs="Times New Roman"/>
          <w:sz w:val="24"/>
          <w:szCs w:val="24"/>
        </w:rPr>
        <w:t>Kā vērtējat</w:t>
      </w:r>
      <w:r w:rsidR="001B3BAF" w:rsidRPr="00126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6526">
        <w:rPr>
          <w:rFonts w:ascii="Times New Roman" w:eastAsia="Times New Roman" w:hAnsi="Times New Roman" w:cs="Times New Roman"/>
          <w:sz w:val="24"/>
          <w:szCs w:val="24"/>
        </w:rPr>
        <w:t xml:space="preserve">ēdināšanas pakalpojuma </w:t>
      </w:r>
      <w:r w:rsidRPr="00126526">
        <w:rPr>
          <w:rFonts w:ascii="Times New Roman" w:eastAsia="Times New Roman" w:hAnsi="Times New Roman" w:cs="Times New Roman"/>
          <w:sz w:val="24"/>
          <w:szCs w:val="24"/>
        </w:rPr>
        <w:t xml:space="preserve">nodrošinājumu </w:t>
      </w:r>
      <w:r w:rsidR="001B3BAF" w:rsidRPr="00126526">
        <w:rPr>
          <w:rFonts w:ascii="Times New Roman" w:eastAsia="Times New Roman" w:hAnsi="Times New Roman" w:cs="Times New Roman"/>
          <w:sz w:val="24"/>
          <w:szCs w:val="24"/>
        </w:rPr>
        <w:t xml:space="preserve">ar Slimnīcas paplātēm? </w:t>
      </w:r>
    </w:p>
    <w:p w14:paraId="778C75FB" w14:textId="36E36395" w:rsidR="007244EF" w:rsidRPr="00126526" w:rsidRDefault="001B3BAF" w:rsidP="004E37C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526">
        <w:rPr>
          <w:rFonts w:ascii="Times New Roman" w:eastAsia="Times New Roman" w:hAnsi="Times New Roman" w:cs="Times New Roman"/>
          <w:sz w:val="24"/>
          <w:szCs w:val="24"/>
        </w:rPr>
        <w:lastRenderedPageBreak/>
        <w:t>Vai</w:t>
      </w:r>
      <w:r w:rsidR="007244EF" w:rsidRPr="00126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6526">
        <w:rPr>
          <w:rFonts w:ascii="Times New Roman" w:eastAsia="Times New Roman" w:hAnsi="Times New Roman" w:cs="Times New Roman"/>
          <w:sz w:val="24"/>
          <w:szCs w:val="24"/>
        </w:rPr>
        <w:t>pakalpojuma sniedzējs varēs nodrošināt ēdiena piegādi, ievērojot konkrētus, Slimnīcas noteiktus piegādes laikus</w:t>
      </w:r>
      <w:r w:rsidR="007244EF" w:rsidRPr="00126526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93A719F" w14:textId="09BF684F" w:rsidR="007244EF" w:rsidRPr="00126526" w:rsidRDefault="001B3BAF" w:rsidP="004E37C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526">
        <w:rPr>
          <w:rFonts w:ascii="Times New Roman" w:eastAsia="Times New Roman" w:hAnsi="Times New Roman" w:cs="Times New Roman"/>
          <w:sz w:val="24"/>
          <w:szCs w:val="24"/>
        </w:rPr>
        <w:t xml:space="preserve">Vai ir </w:t>
      </w:r>
      <w:r w:rsidRPr="00126526">
        <w:rPr>
          <w:rFonts w:ascii="Times New Roman" w:eastAsia="Times New Roman" w:hAnsi="Times New Roman" w:cs="Times New Roman"/>
          <w:sz w:val="24"/>
          <w:szCs w:val="24"/>
        </w:rPr>
        <w:t xml:space="preserve">priekšlikumi, </w:t>
      </w:r>
      <w:r w:rsidR="007244EF" w:rsidRPr="00126526">
        <w:rPr>
          <w:rFonts w:ascii="Times New Roman" w:eastAsia="Times New Roman" w:hAnsi="Times New Roman" w:cs="Times New Roman"/>
          <w:sz w:val="24"/>
          <w:szCs w:val="24"/>
        </w:rPr>
        <w:t>kāds pakalpojuma sniegšanas veids būtu vispie</w:t>
      </w:r>
      <w:r w:rsidRPr="00126526">
        <w:rPr>
          <w:rFonts w:ascii="Times New Roman" w:eastAsia="Times New Roman" w:hAnsi="Times New Roman" w:cs="Times New Roman"/>
          <w:sz w:val="24"/>
          <w:szCs w:val="24"/>
        </w:rPr>
        <w:t>mērotākais ārstniecības iestādē?</w:t>
      </w:r>
      <w:r w:rsidR="007244EF" w:rsidRPr="00126526">
        <w:rPr>
          <w:rFonts w:ascii="Times New Roman" w:eastAsia="Times New Roman" w:hAnsi="Times New Roman" w:cs="Times New Roman"/>
          <w:sz w:val="24"/>
          <w:szCs w:val="24"/>
        </w:rPr>
        <w:t xml:space="preserve"> Vai var ieteikt un piedāvāt kādu novitāti? Vai interese būtu par ēdienreižu dalīšan</w:t>
      </w:r>
      <w:r w:rsidR="0074179D" w:rsidRPr="00126526">
        <w:rPr>
          <w:rFonts w:ascii="Times New Roman" w:eastAsia="Times New Roman" w:hAnsi="Times New Roman" w:cs="Times New Roman"/>
          <w:sz w:val="24"/>
          <w:szCs w:val="24"/>
        </w:rPr>
        <w:t>u starp pakalpojuma sniedzējiem</w:t>
      </w:r>
      <w:r w:rsidR="007244EF" w:rsidRPr="00126526">
        <w:rPr>
          <w:rFonts w:ascii="Times New Roman" w:eastAsia="Times New Roman" w:hAnsi="Times New Roman" w:cs="Times New Roman"/>
          <w:sz w:val="24"/>
          <w:szCs w:val="24"/>
        </w:rPr>
        <w:t xml:space="preserve">, piemēram, brokastis un vakariņas viens, pusdienas cits. Kādas priekšrocības, trūkumi? </w:t>
      </w:r>
    </w:p>
    <w:p w14:paraId="126B29D3" w14:textId="49DD8346" w:rsidR="007244EF" w:rsidRPr="00126526" w:rsidRDefault="007244EF" w:rsidP="004E37C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526">
        <w:rPr>
          <w:rFonts w:ascii="Times New Roman" w:eastAsia="Times New Roman" w:hAnsi="Times New Roman" w:cs="Times New Roman"/>
          <w:sz w:val="24"/>
          <w:szCs w:val="24"/>
        </w:rPr>
        <w:t>Cik transporta vienības nepieciešamas ēdiena piegādei un vai šāds resurss ir pašam pakalpojuma sniedzējam?</w:t>
      </w:r>
      <w:r w:rsidR="001B3BAF" w:rsidRPr="00126526">
        <w:rPr>
          <w:rFonts w:ascii="Times New Roman" w:eastAsia="Times New Roman" w:hAnsi="Times New Roman" w:cs="Times New Roman"/>
          <w:sz w:val="24"/>
          <w:szCs w:val="24"/>
        </w:rPr>
        <w:t xml:space="preserve"> Cik liels darbinieku resurss ir pakalpojumu sniedzēja rīcībā un vai tas ir pietiekams šāda papildus līguma izpildei.</w:t>
      </w:r>
    </w:p>
    <w:p w14:paraId="1D86CF47" w14:textId="1CA5742C" w:rsidR="00E107C3" w:rsidRPr="00126526" w:rsidRDefault="00747315" w:rsidP="004E37C1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6526">
        <w:rPr>
          <w:rFonts w:ascii="Times New Roman" w:eastAsia="Times New Roman" w:hAnsi="Times New Roman" w:cs="Times New Roman"/>
          <w:sz w:val="24"/>
          <w:szCs w:val="24"/>
        </w:rPr>
        <w:t xml:space="preserve">Vai ēdināšanas pakalpojumam ir </w:t>
      </w:r>
      <w:r w:rsidR="00440508" w:rsidRPr="00126526">
        <w:rPr>
          <w:rFonts w:ascii="Times New Roman" w:eastAsia="Times New Roman" w:hAnsi="Times New Roman" w:cs="Times New Roman"/>
          <w:sz w:val="24"/>
          <w:szCs w:val="24"/>
        </w:rPr>
        <w:t>priekšrocības salīdzinājumā ar pārtikas produktu piegādi un ēdiena gatavošanu</w:t>
      </w:r>
      <w:r w:rsidRPr="00126526">
        <w:rPr>
          <w:rFonts w:ascii="Times New Roman" w:eastAsia="Times New Roman" w:hAnsi="Times New Roman" w:cs="Times New Roman"/>
          <w:sz w:val="24"/>
          <w:szCs w:val="24"/>
        </w:rPr>
        <w:t xml:space="preserve"> no slimnīcas puses?</w:t>
      </w:r>
      <w:r w:rsidR="00E107C3" w:rsidRPr="00126526">
        <w:rPr>
          <w:rFonts w:ascii="Times New Roman" w:eastAsia="Times New Roman" w:hAnsi="Times New Roman" w:cs="Times New Roman"/>
          <w:sz w:val="24"/>
          <w:szCs w:val="24"/>
        </w:rPr>
        <w:t xml:space="preserve"> Citas priekšrocības?</w:t>
      </w:r>
    </w:p>
    <w:p w14:paraId="45A0C70F" w14:textId="5C78D88F" w:rsidR="00144A9E" w:rsidRPr="00126526" w:rsidRDefault="00F8522F" w:rsidP="004E37C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126526">
        <w:rPr>
          <w:rFonts w:ascii="Times New Roman" w:eastAsia="Times New Roman" w:hAnsi="Times New Roman" w:cs="Times New Roman"/>
          <w:sz w:val="24"/>
          <w:szCs w:val="24"/>
        </w:rPr>
        <w:t xml:space="preserve">Vai iespējams prognozēt </w:t>
      </w:r>
      <w:r w:rsidR="00514B44" w:rsidRPr="00126526">
        <w:rPr>
          <w:rFonts w:ascii="Times New Roman" w:eastAsia="Times New Roman" w:hAnsi="Times New Roman" w:cs="Times New Roman"/>
          <w:sz w:val="24"/>
          <w:szCs w:val="24"/>
        </w:rPr>
        <w:t xml:space="preserve">pakalpojuma </w:t>
      </w:r>
      <w:r w:rsidRPr="00126526">
        <w:rPr>
          <w:rFonts w:ascii="Times New Roman" w:eastAsia="Times New Roman" w:hAnsi="Times New Roman" w:cs="Times New Roman"/>
          <w:sz w:val="24"/>
          <w:szCs w:val="24"/>
        </w:rPr>
        <w:t>izmaksas?</w:t>
      </w:r>
      <w:r w:rsidR="00514B44" w:rsidRPr="00126526">
        <w:rPr>
          <w:rFonts w:ascii="Times New Roman" w:eastAsia="Times New Roman" w:hAnsi="Times New Roman" w:cs="Times New Roman"/>
          <w:sz w:val="24"/>
          <w:szCs w:val="24"/>
        </w:rPr>
        <w:t xml:space="preserve"> Esošās izmaksas viena pacienta ēdi</w:t>
      </w:r>
      <w:r w:rsidR="00A41ADE" w:rsidRPr="00126526">
        <w:rPr>
          <w:rFonts w:ascii="Times New Roman" w:eastAsia="Times New Roman" w:hAnsi="Times New Roman" w:cs="Times New Roman"/>
          <w:sz w:val="24"/>
          <w:szCs w:val="24"/>
        </w:rPr>
        <w:t>n</w:t>
      </w:r>
      <w:r w:rsidR="00514B44" w:rsidRPr="00126526">
        <w:rPr>
          <w:rFonts w:ascii="Times New Roman" w:eastAsia="Times New Roman" w:hAnsi="Times New Roman" w:cs="Times New Roman"/>
          <w:sz w:val="24"/>
          <w:szCs w:val="24"/>
        </w:rPr>
        <w:t>āšanai pamat</w:t>
      </w:r>
      <w:r w:rsidR="00A41ADE" w:rsidRPr="0012652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14B44" w:rsidRPr="00126526">
        <w:rPr>
          <w:rFonts w:ascii="Times New Roman" w:eastAsia="Times New Roman" w:hAnsi="Times New Roman" w:cs="Times New Roman"/>
          <w:sz w:val="24"/>
          <w:szCs w:val="24"/>
        </w:rPr>
        <w:t>diētai</w:t>
      </w:r>
      <w:r w:rsidR="00144A9E" w:rsidRPr="00126526">
        <w:t xml:space="preserve"> </w:t>
      </w:r>
      <w:r w:rsidR="00144A9E" w:rsidRPr="00126526">
        <w:rPr>
          <w:rFonts w:ascii="Times New Roman" w:hAnsi="Times New Roman" w:cs="Times New Roman"/>
          <w:sz w:val="24"/>
          <w:szCs w:val="24"/>
        </w:rPr>
        <w:t>vidēji  4,04+PVN/dienā= 4,89 ar PVN</w:t>
      </w:r>
    </w:p>
    <w:p w14:paraId="22259D88" w14:textId="77777777" w:rsidR="007244EF" w:rsidRPr="00144A9E" w:rsidRDefault="007244EF" w:rsidP="004072F5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CBDCA" w14:textId="557D11BF" w:rsidR="00CD0E99" w:rsidRDefault="00126526" w:rsidP="004814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526">
        <w:rPr>
          <w:rFonts w:ascii="Times New Roman" w:hAnsi="Times New Roman" w:cs="Times New Roman"/>
          <w:b/>
          <w:sz w:val="24"/>
          <w:szCs w:val="24"/>
          <w:u w:val="single"/>
        </w:rPr>
        <w:t xml:space="preserve">Pacientu izvietojums pa Slimnīcas korpusiem </w:t>
      </w:r>
      <w:bookmarkStart w:id="0" w:name="_GoBack"/>
      <w:bookmarkEnd w:id="0"/>
    </w:p>
    <w:tbl>
      <w:tblPr>
        <w:tblW w:w="9516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559"/>
        <w:gridCol w:w="1559"/>
        <w:gridCol w:w="1276"/>
        <w:gridCol w:w="1276"/>
        <w:gridCol w:w="1161"/>
      </w:tblGrid>
      <w:tr w:rsidR="00F00941" w:rsidRPr="00F00941" w14:paraId="630A6A9E" w14:textId="77777777" w:rsidTr="00F00941">
        <w:trPr>
          <w:trHeight w:val="735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C234C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Atrašanās vieta  (korpuss)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316C4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Gultu skaits 26.03.2021.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D3638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Gultu skaits 2022.gadā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5D417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Gultu skaits 2023.gadā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656B7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Gultu skaits 2024.gadā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97495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Gultu skaits 2025.gadā</w:t>
            </w:r>
          </w:p>
        </w:tc>
      </w:tr>
      <w:tr w:rsidR="00F00941" w:rsidRPr="00F00941" w14:paraId="5785FAA7" w14:textId="77777777" w:rsidTr="00F00941">
        <w:trPr>
          <w:trHeight w:val="315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91E38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9.k.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9169E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5A827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0CAA5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AD3B0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7E62D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27</w:t>
            </w:r>
          </w:p>
        </w:tc>
      </w:tr>
      <w:tr w:rsidR="00F00941" w:rsidRPr="00F00941" w14:paraId="5B26AB05" w14:textId="77777777" w:rsidTr="00F00941">
        <w:trPr>
          <w:trHeight w:val="315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DBC3F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15.k.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BA616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F74BC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E027F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2B6CD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BA931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220</w:t>
            </w:r>
          </w:p>
        </w:tc>
      </w:tr>
      <w:tr w:rsidR="00F00941" w:rsidRPr="00F00941" w14:paraId="1B954ED7" w14:textId="77777777" w:rsidTr="00F00941">
        <w:trPr>
          <w:trHeight w:val="315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BC025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15.k. moduļi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749C6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5EE00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82AE7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29C88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C0B95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40</w:t>
            </w:r>
          </w:p>
        </w:tc>
      </w:tr>
      <w:tr w:rsidR="00F00941" w:rsidRPr="00F00941" w14:paraId="5CCF7725" w14:textId="77777777" w:rsidTr="00F00941">
        <w:trPr>
          <w:trHeight w:val="288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3D63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21.-25.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5CA0B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4E1FC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E6028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BAFAD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F7530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85</w:t>
            </w:r>
          </w:p>
        </w:tc>
      </w:tr>
      <w:tr w:rsidR="00F00941" w:rsidRPr="00F00941" w14:paraId="14EFF839" w14:textId="77777777" w:rsidTr="00F00941">
        <w:trPr>
          <w:trHeight w:val="288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AB5F0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32.k.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27675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717CF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9279B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15A1F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B37FF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 </w:t>
            </w:r>
          </w:p>
        </w:tc>
      </w:tr>
      <w:tr w:rsidR="00F00941" w:rsidRPr="00F00941" w14:paraId="116F2B2E" w14:textId="77777777" w:rsidTr="00F00941">
        <w:trPr>
          <w:trHeight w:val="288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25A3A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A I korpuss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C53C3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640E0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38D78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701FF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45F76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196</w:t>
            </w:r>
          </w:p>
        </w:tc>
      </w:tr>
      <w:tr w:rsidR="00F00941" w:rsidRPr="00F00941" w14:paraId="10818954" w14:textId="77777777" w:rsidTr="00F00941">
        <w:trPr>
          <w:trHeight w:val="288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83A1B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A II korpuss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A1911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0735E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6E751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4E62B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463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ECDFF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463</w:t>
            </w:r>
          </w:p>
        </w:tc>
      </w:tr>
      <w:tr w:rsidR="00F00941" w:rsidRPr="00F00941" w14:paraId="5EDDC091" w14:textId="77777777" w:rsidTr="00F00941">
        <w:trPr>
          <w:trHeight w:val="288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E1F40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1BBE3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19A93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3F291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D4D24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987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514DA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1031</w:t>
            </w:r>
          </w:p>
        </w:tc>
      </w:tr>
      <w:tr w:rsidR="00F00941" w:rsidRPr="00F00941" w14:paraId="66C01DD5" w14:textId="77777777" w:rsidTr="00F00941">
        <w:trPr>
          <w:trHeight w:val="288"/>
        </w:trPr>
        <w:tc>
          <w:tcPr>
            <w:tcW w:w="26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15E8D" w14:textId="77777777" w:rsidR="00F00941" w:rsidRPr="00F00941" w:rsidRDefault="00F00941" w:rsidP="00F0094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54C4C" w14:textId="77777777" w:rsidR="00F00941" w:rsidRPr="00F00941" w:rsidRDefault="00F00941" w:rsidP="00F0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CC9DE" w14:textId="77777777" w:rsidR="00F00941" w:rsidRPr="00F00941" w:rsidRDefault="00F00941" w:rsidP="00F0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8FD59" w14:textId="77777777" w:rsidR="00F00941" w:rsidRPr="00F00941" w:rsidRDefault="00F00941" w:rsidP="00F0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C25EA" w14:textId="77777777" w:rsidR="00F00941" w:rsidRPr="00F00941" w:rsidRDefault="00F00941" w:rsidP="00F0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728AB" w14:textId="77777777" w:rsidR="00F00941" w:rsidRPr="00F00941" w:rsidRDefault="00F00941" w:rsidP="00F0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00941" w:rsidRPr="00F00941" w14:paraId="0468F6E0" w14:textId="77777777" w:rsidTr="00F00941">
        <w:trPr>
          <w:trHeight w:val="288"/>
        </w:trPr>
        <w:tc>
          <w:tcPr>
            <w:tcW w:w="26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55C00" w14:textId="77777777" w:rsidR="00F00941" w:rsidRPr="00F00941" w:rsidRDefault="00F00941" w:rsidP="00F0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77438" w14:textId="77777777" w:rsidR="00F00941" w:rsidRPr="00F00941" w:rsidRDefault="00F00941" w:rsidP="00F0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26AE0" w14:textId="77777777" w:rsidR="00F00941" w:rsidRPr="00F00941" w:rsidRDefault="00F00941" w:rsidP="00F0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AE7BF" w14:textId="77777777" w:rsidR="00F00941" w:rsidRPr="00F00941" w:rsidRDefault="00F00941" w:rsidP="00F0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95217" w14:textId="77777777" w:rsidR="00F00941" w:rsidRPr="00F00941" w:rsidRDefault="00F00941" w:rsidP="00F0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F3609" w14:textId="77777777" w:rsidR="00F00941" w:rsidRPr="00F00941" w:rsidRDefault="00F00941" w:rsidP="00F00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00941" w:rsidRPr="00F00941" w14:paraId="5B022A1A" w14:textId="77777777" w:rsidTr="00F00941">
        <w:trPr>
          <w:trHeight w:val="288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3AFBD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Dienu skaits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9C09F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365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F813B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365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D9CBC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365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2AC24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366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2C4BB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365</w:t>
            </w:r>
          </w:p>
        </w:tc>
      </w:tr>
      <w:tr w:rsidR="00F00941" w:rsidRPr="00F00941" w14:paraId="75160919" w14:textId="77777777" w:rsidTr="00F00941">
        <w:trPr>
          <w:trHeight w:val="288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5FE0F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Gultu noslodzes koeficents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084C0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1AAF8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8B12D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1F753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0,8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9D4D1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0,8</w:t>
            </w:r>
          </w:p>
        </w:tc>
      </w:tr>
      <w:tr w:rsidR="00F00941" w:rsidRPr="00F00941" w14:paraId="58B38DF9" w14:textId="77777777" w:rsidTr="00F00941">
        <w:trPr>
          <w:trHeight w:val="288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8069B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Ēdienreižu skaits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25255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D618A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3E317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BE223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F516D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3</w:t>
            </w:r>
          </w:p>
        </w:tc>
      </w:tr>
      <w:tr w:rsidR="00F00941" w:rsidRPr="00F00941" w14:paraId="1F213470" w14:textId="77777777" w:rsidTr="00F00941">
        <w:trPr>
          <w:trHeight w:val="288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A7F51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Papildus koefic.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33BE9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E52A8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5B7EC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D97C1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1,05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37161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color w:val="000000"/>
                <w:lang w:eastAsia="lv-LV"/>
              </w:rPr>
              <w:t>1,05</w:t>
            </w:r>
          </w:p>
        </w:tc>
      </w:tr>
      <w:tr w:rsidR="00F00941" w:rsidRPr="00F00941" w14:paraId="3CE9A8CF" w14:textId="77777777" w:rsidTr="00F00941">
        <w:trPr>
          <w:trHeight w:val="288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567E2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Prognozētais porciju skaits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F1D70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651 218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902B1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732 161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91232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732 161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BF675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910 330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ACEBA" w14:textId="77777777" w:rsidR="00F00941" w:rsidRPr="00F00941" w:rsidRDefault="00F00941" w:rsidP="00F009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</w:pPr>
            <w:r w:rsidRPr="00F00941">
              <w:rPr>
                <w:rFonts w:ascii="Calibri" w:eastAsia="Calibri" w:hAnsi="Calibri" w:cs="Times New Roman"/>
                <w:b/>
                <w:bCs/>
                <w:color w:val="000000"/>
                <w:lang w:eastAsia="lv-LV"/>
              </w:rPr>
              <w:t>948 314</w:t>
            </w:r>
          </w:p>
        </w:tc>
      </w:tr>
    </w:tbl>
    <w:p w14:paraId="2159C41A" w14:textId="77777777" w:rsidR="00CD0E99" w:rsidRPr="00126526" w:rsidRDefault="00CD0E99" w:rsidP="001265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D0E99" w:rsidRPr="00126526" w:rsidSect="009C19E3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378F9" w16cid:durableId="2491C060"/>
  <w16cid:commentId w16cid:paraId="39E92F5F" w16cid:durableId="2491C061"/>
  <w16cid:commentId w16cid:paraId="1598C3C6" w16cid:durableId="2491C0D2"/>
  <w16cid:commentId w16cid:paraId="282287A8" w16cid:durableId="2491C062"/>
  <w16cid:commentId w16cid:paraId="20AAEF70" w16cid:durableId="2491C0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1AA68" w14:textId="77777777" w:rsidR="0004154B" w:rsidRDefault="0004154B" w:rsidP="00A46F3B">
      <w:pPr>
        <w:spacing w:after="0" w:line="240" w:lineRule="auto"/>
      </w:pPr>
      <w:r>
        <w:separator/>
      </w:r>
    </w:p>
  </w:endnote>
  <w:endnote w:type="continuationSeparator" w:id="0">
    <w:p w14:paraId="15201749" w14:textId="77777777" w:rsidR="0004154B" w:rsidRDefault="0004154B" w:rsidP="00A4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8B2F1" w14:textId="77777777" w:rsidR="0004154B" w:rsidRDefault="0004154B" w:rsidP="00A46F3B">
      <w:pPr>
        <w:spacing w:after="0" w:line="240" w:lineRule="auto"/>
      </w:pPr>
      <w:r>
        <w:separator/>
      </w:r>
    </w:p>
  </w:footnote>
  <w:footnote w:type="continuationSeparator" w:id="0">
    <w:p w14:paraId="59FAAD58" w14:textId="77777777" w:rsidR="0004154B" w:rsidRDefault="0004154B" w:rsidP="00A46F3B">
      <w:pPr>
        <w:spacing w:after="0" w:line="240" w:lineRule="auto"/>
      </w:pPr>
      <w:r>
        <w:continuationSeparator/>
      </w:r>
    </w:p>
  </w:footnote>
  <w:footnote w:id="1">
    <w:p w14:paraId="46611E59" w14:textId="13966B04" w:rsidR="00A46F3B" w:rsidRDefault="00A46F3B">
      <w:pPr>
        <w:pStyle w:val="FootnoteText"/>
      </w:pPr>
      <w:r>
        <w:rPr>
          <w:rStyle w:val="FootnoteReference"/>
        </w:rPr>
        <w:footnoteRef/>
      </w:r>
      <w:r>
        <w:t xml:space="preserve"> Skat. </w:t>
      </w:r>
      <w:r w:rsidRPr="00A46F3B">
        <w:t>Ministru</w:t>
      </w:r>
      <w:r>
        <w:t xml:space="preserve"> kabineta 13.03.2012. noteikumi</w:t>
      </w:r>
      <w:r w:rsidRPr="00A46F3B">
        <w:t xml:space="preserve"> Nr. 172 “Noteikumi par uztura normām izglītības iestāžu izglītojamiem, sociālās aprūpes un sociālās rehabilitācijas institūciju klientiem un ārstniecības iestāžu pacientiem”</w:t>
      </w:r>
      <w:r>
        <w:t xml:space="preserve">, </w:t>
      </w:r>
      <w:hyperlink r:id="rId1" w:history="1">
        <w:r w:rsidRPr="00F175C2">
          <w:rPr>
            <w:rStyle w:val="Hyperlink"/>
          </w:rPr>
          <w:t>https://likumi.lv/ta/id/245300-noteikumi-par-uztura-normam-izglitibas-iestazu-izglitojamiem-socialas-aprupes-un-socialas-rehabilitacijas-instituciju</w:t>
        </w:r>
      </w:hyperlink>
      <w:r>
        <w:t xml:space="preserve"> </w:t>
      </w:r>
    </w:p>
  </w:footnote>
  <w:footnote w:id="2">
    <w:p w14:paraId="2DF29DC7" w14:textId="2C00881D" w:rsidR="00A46F3B" w:rsidRDefault="00A46F3B" w:rsidP="00A46F3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Skat. </w:t>
      </w:r>
      <w:r w:rsidRPr="00A46F3B">
        <w:t>Ministru kabineta 20.06.2017. noteikumi Nr. 353 “Prasības zaļajam publiskajam iepirkumam un to piemērošanas kārtība”</w:t>
      </w:r>
      <w:r>
        <w:t xml:space="preserve">, </w:t>
      </w:r>
      <w:hyperlink r:id="rId2" w:anchor="piel1" w:history="1">
        <w:r w:rsidRPr="00F175C2">
          <w:rPr>
            <w:rStyle w:val="Hyperlink"/>
          </w:rPr>
          <w:t>https://likumi.lv/ta/id/291867#piel1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548E7"/>
    <w:multiLevelType w:val="hybridMultilevel"/>
    <w:tmpl w:val="22264EB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E7F8C"/>
    <w:multiLevelType w:val="hybridMultilevel"/>
    <w:tmpl w:val="3EC09976"/>
    <w:lvl w:ilvl="0" w:tplc="B8DEC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EA"/>
    <w:rsid w:val="0004154B"/>
    <w:rsid w:val="000C6E93"/>
    <w:rsid w:val="00126526"/>
    <w:rsid w:val="00144A9E"/>
    <w:rsid w:val="001B3BAF"/>
    <w:rsid w:val="001F2367"/>
    <w:rsid w:val="0030637A"/>
    <w:rsid w:val="00374460"/>
    <w:rsid w:val="004072F5"/>
    <w:rsid w:val="00440508"/>
    <w:rsid w:val="00481495"/>
    <w:rsid w:val="004A0B0A"/>
    <w:rsid w:val="004E37C1"/>
    <w:rsid w:val="004F5398"/>
    <w:rsid w:val="00514B44"/>
    <w:rsid w:val="005E149D"/>
    <w:rsid w:val="006F0429"/>
    <w:rsid w:val="007244EF"/>
    <w:rsid w:val="0074179D"/>
    <w:rsid w:val="00747315"/>
    <w:rsid w:val="007D1D6E"/>
    <w:rsid w:val="009867A6"/>
    <w:rsid w:val="009C19E3"/>
    <w:rsid w:val="009E04EC"/>
    <w:rsid w:val="00A41ADE"/>
    <w:rsid w:val="00A46F3B"/>
    <w:rsid w:val="00AA3B89"/>
    <w:rsid w:val="00AC088A"/>
    <w:rsid w:val="00B25B18"/>
    <w:rsid w:val="00B63A0A"/>
    <w:rsid w:val="00BE5F91"/>
    <w:rsid w:val="00BF73CC"/>
    <w:rsid w:val="00C66176"/>
    <w:rsid w:val="00C827A8"/>
    <w:rsid w:val="00CD0E99"/>
    <w:rsid w:val="00CD4CEA"/>
    <w:rsid w:val="00CF0DE2"/>
    <w:rsid w:val="00D00B46"/>
    <w:rsid w:val="00D8568F"/>
    <w:rsid w:val="00D95799"/>
    <w:rsid w:val="00DC0741"/>
    <w:rsid w:val="00E107C3"/>
    <w:rsid w:val="00EF05F0"/>
    <w:rsid w:val="00F00941"/>
    <w:rsid w:val="00F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80549"/>
  <w15:chartTrackingRefBased/>
  <w15:docId w15:val="{BF2B83FA-057A-46F1-A50B-BF1C14C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C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0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8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DE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6F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F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6F3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46F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F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kumi.lv/ta/id/291867" TargetMode="External"/><Relationship Id="rId1" Type="http://schemas.openxmlformats.org/officeDocument/2006/relationships/hyperlink" Target="https://likumi.lv/ta/id/245300-noteikumi-par-uztura-normam-izglitibas-iestazu-izglitojamiem-socialas-aprupes-un-socialas-rehabilitacijas-instituci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1CA7-B90A-48D4-868E-EA326E6E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4968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Kancāne</dc:creator>
  <cp:keywords/>
  <dc:description/>
  <cp:lastModifiedBy>Zanda Brante</cp:lastModifiedBy>
  <cp:revision>12</cp:revision>
  <dcterms:created xsi:type="dcterms:W3CDTF">2021-07-26T08:46:00Z</dcterms:created>
  <dcterms:modified xsi:type="dcterms:W3CDTF">2021-07-30T10:32:00Z</dcterms:modified>
</cp:coreProperties>
</file>