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09130F">
        <w:rPr>
          <w:rFonts w:ascii="Times New Roman" w:eastAsia="Times New Roman" w:hAnsi="Times New Roman"/>
        </w:rPr>
        <w:t>19</w:t>
      </w:r>
      <w:r>
        <w:rPr>
          <w:rFonts w:ascii="Times New Roman" w:eastAsia="Times New Roman" w:hAnsi="Times New Roman"/>
        </w:rPr>
        <w:t>.jūlija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2D0F76"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Ievadslūžu un perifēro asinsvadu balonizpletošo stent-protēžu piegāde</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PSKUS 2016/155</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FE7BC6"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PSKUS 2016/155</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FE7BC6">
        <w:rPr>
          <w:rFonts w:ascii="Times New Roman" w:hAnsi="Times New Roman"/>
          <w:sz w:val="24"/>
          <w:szCs w:val="24"/>
        </w:rPr>
        <w:t>Ievadslūžu un perifēro asinsvadu balonizpletošo stent-protēžu piegāde</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dentifikācijas Nr. PSKUS 2016/155</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0D5DD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Ievadslūžu un perifēro asinsvadu balonizpletošo stent-protēžu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Pr="00362DCB">
        <w:rPr>
          <w:rFonts w:ascii="Times New Roman" w:eastAsia="Times New Roman" w:hAnsi="Times New Roman"/>
          <w:sz w:val="24"/>
          <w:szCs w:val="24"/>
        </w:rPr>
        <w:t>nav sadalīts daļās.</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rsidR="00307070" w:rsidRPr="00316FD8"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435F6A">
        <w:rPr>
          <w:rFonts w:ascii="Times New Roman" w:eastAsia="Times New Roman" w:hAnsi="Times New Roman"/>
          <w:sz w:val="24"/>
          <w:szCs w:val="24"/>
        </w:rPr>
        <w:t>33100000-1 (Medicīniskās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rsidR="004F7202" w:rsidRPr="00BA7888" w:rsidRDefault="00FF10A8" w:rsidP="00BA7888">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w:t>
      </w:r>
      <w:r w:rsidR="00207140">
        <w:rPr>
          <w:rFonts w:ascii="Times New Roman" w:eastAsia="Times New Roman" w:hAnsi="Times New Roman"/>
          <w:sz w:val="24"/>
          <w:szCs w:val="24"/>
        </w:rPr>
        <w:lastRenderedPageBreak/>
        <w:t xml:space="preserve">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FB069D">
        <w:rPr>
          <w:rFonts w:ascii="Times New Roman" w:eastAsia="Times New Roman" w:hAnsi="Times New Roman"/>
          <w:bCs/>
          <w:sz w:val="24"/>
          <w:szCs w:val="24"/>
        </w:rPr>
        <w:t>17.augustam</w:t>
      </w:r>
      <w:r w:rsidR="00FF5D07"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EE36B8">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FB069D">
        <w:rPr>
          <w:rFonts w:ascii="Times New Roman" w:eastAsia="Times New Roman" w:hAnsi="Times New Roman"/>
          <w:b/>
          <w:bCs/>
          <w:sz w:val="24"/>
          <w:szCs w:val="24"/>
        </w:rPr>
        <w:t>17.augustam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EE36B8">
        <w:rPr>
          <w:rFonts w:ascii="Times New Roman" w:eastAsia="Times New Roman" w:hAnsi="Times New Roman"/>
          <w:b/>
          <w:bCs/>
          <w:sz w:val="24"/>
          <w:szCs w:val="24"/>
        </w:rPr>
        <w:t>0</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F2490">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FB069D">
        <w:rPr>
          <w:rFonts w:ascii="Times New Roman" w:eastAsia="Times New Roman" w:hAnsi="Times New Roman"/>
          <w:bCs/>
          <w:sz w:val="24"/>
          <w:szCs w:val="24"/>
        </w:rPr>
        <w:t>17.augustā</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EE36B8" w:rsidRPr="00EE36B8">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*.xls, *.doc</w:t>
      </w:r>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EE36B8">
        <w:rPr>
          <w:rFonts w:ascii="Times New Roman" w:hAnsi="Times New Roman"/>
          <w:sz w:val="24"/>
          <w:szCs w:val="24"/>
        </w:rPr>
        <w:t>Ievadslūžu un perifēro asinsvadu balonizpletošo stent-protēžu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EE36B8">
        <w:rPr>
          <w:rFonts w:ascii="Times New Roman" w:eastAsia="Times New Roman" w:hAnsi="Times New Roman"/>
          <w:bCs/>
          <w:sz w:val="24"/>
          <w:szCs w:val="24"/>
        </w:rPr>
        <w:t>PSKUS 2016/155</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3F7160">
        <w:rPr>
          <w:rFonts w:ascii="Times New Roman" w:eastAsia="Times New Roman" w:hAnsi="Times New Roman"/>
          <w:bCs/>
          <w:sz w:val="24"/>
          <w:szCs w:val="24"/>
        </w:rPr>
        <w:t>17.augustam plkst.1</w:t>
      </w:r>
      <w:r w:rsidR="00EE36B8">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113FB" w:rsidRPr="005073D6" w:rsidRDefault="005073D6" w:rsidP="005073D6">
      <w:pPr>
        <w:numPr>
          <w:ilvl w:val="1"/>
          <w:numId w:val="1"/>
        </w:numPr>
        <w:spacing w:after="0" w:line="240" w:lineRule="auto"/>
        <w:ind w:left="709" w:hanging="709"/>
        <w:jc w:val="both"/>
        <w:rPr>
          <w:rFonts w:ascii="Times New Roman" w:hAnsi="Times New Roman"/>
          <w:sz w:val="24"/>
          <w:szCs w:val="24"/>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sidRPr="005073D6">
        <w:rPr>
          <w:rFonts w:ascii="Times New Roman" w:hAnsi="Times New Roman"/>
          <w:sz w:val="24"/>
          <w:szCs w:val="24"/>
        </w:rPr>
        <w:t xml:space="preserve"> pantam</w:t>
      </w:r>
      <w:r w:rsidRPr="005073D6">
        <w:rPr>
          <w:rFonts w:ascii="Times New Roman" w:hAnsi="Times New Roman"/>
          <w:b/>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CA4A64">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5073D6" w:rsidRPr="006408C1" w:rsidTr="00CA4A64">
        <w:trPr>
          <w:trHeight w:val="1082"/>
        </w:trPr>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3</w:t>
            </w:r>
            <w:r w:rsidRPr="002B5437">
              <w:rPr>
                <w:rFonts w:ascii="Times New Roman" w:eastAsia="Times New Roman" w:hAnsi="Times New Roman"/>
              </w:rPr>
              <w:t>.2. Pretendentam ir tiesības pārdot piedāvātās Preces Latvijas Republikas teritorijā</w:t>
            </w:r>
            <w:r w:rsidRPr="002B5437">
              <w:rPr>
                <w:rFonts w:ascii="Times New Roman" w:eastAsia="Times New Roman" w:hAnsi="Times New Roman"/>
                <w:lang w:eastAsia="lv-LV"/>
              </w:rPr>
              <w:t>.</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.2. </w:t>
            </w:r>
            <w:r>
              <w:rPr>
                <w:rFonts w:ascii="Times New Roman" w:eastAsia="Times New Roman" w:hAnsi="Times New Roman"/>
              </w:rPr>
              <w:t>Lai apliecinātu Nolikuma 3</w:t>
            </w:r>
            <w:r w:rsidRPr="002B5437">
              <w:rPr>
                <w:rFonts w:ascii="Times New Roman" w:eastAsia="Times New Roman" w:hAnsi="Times New Roman"/>
              </w:rPr>
              <w:t>.2.punkta izpildi, Pretendentam jāiesniedz ražotāja apliecinoši dokumenti, kas ļauj Pretendentam nodrošināt Preces pārdošanu Latvijas Republikas teritorijā</w:t>
            </w:r>
            <w:r w:rsidRPr="002B5437">
              <w:rPr>
                <w:rFonts w:ascii="Times New Roman" w:hAnsi="Times New Roman"/>
              </w:rPr>
              <w:t>.</w:t>
            </w:r>
          </w:p>
        </w:tc>
      </w:tr>
      <w:tr w:rsidR="005073D6" w:rsidRPr="006408C1" w:rsidTr="00CA4A64">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Pr="002B5437">
              <w:rPr>
                <w:rFonts w:ascii="Times New Roman" w:eastAsia="Times New Roman" w:hAnsi="Times New Roman"/>
              </w:rPr>
              <w:t xml:space="preserve">.3.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lastRenderedPageBreak/>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.3. Personas, uz kuras iespējām Pretendents balstās, rakstisks apliecinājums par piedalīšanos iepirkuma procedūrā, kā arī apliecinājums nodot Pretendenta rīcībā vispārīgās vienošanās izpildei nepieciešamos resursus (norādot konkrētus </w:t>
            </w:r>
            <w:r w:rsidRPr="002B5437">
              <w:rPr>
                <w:rFonts w:ascii="Times New Roman" w:eastAsia="Times New Roman" w:hAnsi="Times New Roman"/>
              </w:rPr>
              <w:lastRenderedPageBreak/>
              <w:t>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lastRenderedPageBreak/>
        <w:tab/>
      </w:r>
    </w:p>
    <w:p w:rsidR="008061E9" w:rsidRDefault="009229B1" w:rsidP="00BA279B">
      <w:pPr>
        <w:numPr>
          <w:ilvl w:val="0"/>
          <w:numId w:val="5"/>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rsidR="00C660AB" w:rsidRPr="00E97A35" w:rsidRDefault="00E97A35"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piedāvājumu 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1E14EB" w:rsidRPr="00E97A35" w:rsidRDefault="001E14EB"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sidRPr="00E97A35">
        <w:rPr>
          <w:rFonts w:ascii="Times New Roman" w:hAnsi="Times New Roman"/>
          <w:sz w:val="24"/>
          <w:szCs w:val="24"/>
        </w:rPr>
        <w:t xml:space="preserve"> </w:t>
      </w:r>
      <w:r w:rsidR="00E97A35" w:rsidRPr="00E97A35">
        <w:rPr>
          <w:rFonts w:ascii="Times New Roman" w:hAnsi="Times New Roman"/>
          <w:sz w:val="24"/>
          <w:szCs w:val="24"/>
        </w:rPr>
        <w:t>Tehniskais piedāvājums jāsagatavo atbilstoši Nolikumam</w:t>
      </w:r>
      <w:r w:rsidR="00E97A35" w:rsidRPr="00E97A35">
        <w:rPr>
          <w:rFonts w:ascii="Times New Roman" w:hAnsi="Times New Roman"/>
          <w:bCs/>
          <w:sz w:val="24"/>
          <w:szCs w:val="24"/>
        </w:rPr>
        <w:t xml:space="preserve"> pievienotajai Tehniskā piedāvājuma formai (Nolikuma 3.pielikums)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E97A35" w:rsidRPr="00E97A35" w:rsidRDefault="003037B3"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Pr>
          <w:rFonts w:ascii="Times New Roman" w:hAnsi="Times New Roman"/>
          <w:sz w:val="24"/>
          <w:szCs w:val="24"/>
        </w:rPr>
        <w:t xml:space="preserve"> </w:t>
      </w:r>
      <w:r w:rsidR="00E97A35" w:rsidRPr="00E97A35">
        <w:rPr>
          <w:rFonts w:ascii="Times New Roman" w:hAnsi="Times New Roman"/>
          <w:bCs/>
          <w:sz w:val="24"/>
          <w:szCs w:val="24"/>
        </w:rPr>
        <w:t>Tehniskajam piedāvājumam jāpievieno sekojoši dokumenti:</w:t>
      </w:r>
    </w:p>
    <w:p w:rsidR="00E97A35" w:rsidRPr="00546DCB" w:rsidRDefault="00546DCB" w:rsidP="00E97A35">
      <w:pPr>
        <w:pStyle w:val="ListParagraph"/>
        <w:numPr>
          <w:ilvl w:val="2"/>
          <w:numId w:val="5"/>
        </w:numPr>
        <w:tabs>
          <w:tab w:val="clear" w:pos="1440"/>
        </w:tabs>
        <w:spacing w:after="0" w:line="240" w:lineRule="auto"/>
        <w:ind w:left="993"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 atbilstības deklarācijas kopija;</w:t>
      </w:r>
    </w:p>
    <w:p w:rsidR="00546DCB" w:rsidRPr="00546DCB" w:rsidRDefault="00546DCB" w:rsidP="00E97A35">
      <w:pPr>
        <w:pStyle w:val="ListParagraph"/>
        <w:numPr>
          <w:ilvl w:val="2"/>
          <w:numId w:val="5"/>
        </w:numPr>
        <w:tabs>
          <w:tab w:val="clear" w:pos="1440"/>
        </w:tabs>
        <w:spacing w:after="0" w:line="240" w:lineRule="auto"/>
        <w:ind w:left="993"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p>
    <w:p w:rsidR="00011BBE" w:rsidRPr="006B082A" w:rsidRDefault="006B082A"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Pr>
          <w:rFonts w:ascii="Times New Roman" w:hAnsi="Times New Roman"/>
          <w:sz w:val="24"/>
          <w:szCs w:val="24"/>
        </w:rPr>
        <w:t xml:space="preserve"> </w:t>
      </w: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rsidR="009229B1" w:rsidRPr="009229B1" w:rsidRDefault="009229B1" w:rsidP="009229B1">
      <w:pPr>
        <w:numPr>
          <w:ilvl w:val="0"/>
          <w:numId w:val="5"/>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rsidR="00357237" w:rsidRPr="006B082A" w:rsidRDefault="006B082A" w:rsidP="00BB0BE1">
      <w:pPr>
        <w:numPr>
          <w:ilvl w:val="1"/>
          <w:numId w:val="5"/>
        </w:numPr>
        <w:spacing w:after="0" w:line="240" w:lineRule="auto"/>
        <w:ind w:left="567" w:right="-483" w:hanging="567"/>
        <w:jc w:val="both"/>
        <w:outlineLvl w:val="0"/>
        <w:rPr>
          <w:rFonts w:ascii="Times New Roman" w:eastAsia="Times New Roman" w:hAnsi="Times New Roman"/>
          <w:sz w:val="24"/>
          <w:szCs w:val="24"/>
        </w:rPr>
      </w:pPr>
      <w:bookmarkStart w:id="23" w:name="_Toc59334737"/>
      <w:bookmarkStart w:id="24" w:name="_Toc61422143"/>
      <w:bookmarkEnd w:id="20"/>
      <w:bookmarkEnd w:id="22"/>
      <w:r w:rsidRPr="006B082A">
        <w:rPr>
          <w:rFonts w:ascii="Times New Roman" w:hAnsi="Times New Roman"/>
          <w:sz w:val="24"/>
          <w:szCs w:val="24"/>
        </w:rPr>
        <w:t>Finanšu piedāvājumu sagatavo atbilstoši Nolikumam pievienotajai finanšu piedāvājuma formai (Nolikuma 4.pielikums)</w:t>
      </w:r>
      <w:r w:rsidR="00470486" w:rsidRPr="006B082A">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rsidR="00362DCB" w:rsidRPr="006B082A" w:rsidRDefault="006B082A" w:rsidP="00BB0BE1">
      <w:pPr>
        <w:numPr>
          <w:ilvl w:val="1"/>
          <w:numId w:val="5"/>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 xml:space="preserve">saistītas ar piegādi, </w:t>
      </w:r>
      <w:r w:rsidR="005073D6">
        <w:rPr>
          <w:rFonts w:ascii="Times New Roman" w:hAnsi="Times New Roman"/>
          <w:sz w:val="24"/>
          <w:szCs w:val="24"/>
        </w:rPr>
        <w:t xml:space="preserve">un </w:t>
      </w:r>
      <w:r w:rsidR="002B5615">
        <w:rPr>
          <w:rFonts w:ascii="Times New Roman" w:hAnsi="Times New Roman"/>
          <w:sz w:val="24"/>
          <w:szCs w:val="24"/>
        </w:rPr>
        <w:t>transportu</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rsidR="007036D0" w:rsidRPr="00BB0BE1" w:rsidRDefault="007036D0" w:rsidP="00BB0BE1">
      <w:pPr>
        <w:numPr>
          <w:ilvl w:val="1"/>
          <w:numId w:val="5"/>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rsidR="00362DCB" w:rsidRDefault="00362DCB" w:rsidP="00BB0BE1">
      <w:pPr>
        <w:numPr>
          <w:ilvl w:val="1"/>
          <w:numId w:val="5"/>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rsidR="00362DCB" w:rsidRPr="00BB0BE1" w:rsidRDefault="00362DCB" w:rsidP="00BB0BE1">
      <w:pPr>
        <w:numPr>
          <w:ilvl w:val="1"/>
          <w:numId w:val="5"/>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Pretendents nedrīkst iesniegt Finanšu piedāvājuma variantus</w:t>
      </w:r>
      <w:r w:rsidR="00235E29" w:rsidRPr="00BB0BE1">
        <w:rPr>
          <w:rFonts w:ascii="Times New Roman" w:eastAsia="Times New Roman" w:hAnsi="Times New Roman"/>
          <w:sz w:val="24"/>
          <w:szCs w:val="24"/>
        </w:rPr>
        <w:t>.</w:t>
      </w:r>
    </w:p>
    <w:p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rsidR="008061E9" w:rsidRPr="003B23BF" w:rsidRDefault="00362DCB" w:rsidP="00BA279B">
      <w:pPr>
        <w:widowControl w:val="0"/>
        <w:numPr>
          <w:ilvl w:val="0"/>
          <w:numId w:val="5"/>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rsidR="00362DCB" w:rsidRPr="00362DCB" w:rsidRDefault="0096720D" w:rsidP="00576FA8">
      <w:pPr>
        <w:numPr>
          <w:ilvl w:val="1"/>
          <w:numId w:val="5"/>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5A2C37">
      <w:pPr>
        <w:numPr>
          <w:ilvl w:val="2"/>
          <w:numId w:val="5"/>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viszemākā cena par Nolikuma prasībām atbilstošu piedāvājumu.</w:t>
      </w:r>
    </w:p>
    <w:p w:rsidR="00362DCB" w:rsidRDefault="0096720D" w:rsidP="005A2C37">
      <w:pPr>
        <w:numPr>
          <w:ilvl w:val="2"/>
          <w:numId w:val="5"/>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BA279B">
      <w:pPr>
        <w:numPr>
          <w:ilvl w:val="1"/>
          <w:numId w:val="5"/>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5A2C37">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5A2C37">
      <w:pPr>
        <w:numPr>
          <w:ilvl w:val="2"/>
          <w:numId w:val="5"/>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BA279B">
      <w:pPr>
        <w:numPr>
          <w:ilvl w:val="1"/>
          <w:numId w:val="5"/>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A444FF">
      <w:pPr>
        <w:widowControl w:val="0"/>
        <w:numPr>
          <w:ilvl w:val="2"/>
          <w:numId w:val="5"/>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lastRenderedPageBreak/>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BA279B">
      <w:pPr>
        <w:numPr>
          <w:ilvl w:val="1"/>
          <w:numId w:val="5"/>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rsidR="00E53DF6" w:rsidRPr="005E0B03" w:rsidRDefault="005E0B03" w:rsidP="00A444FF">
      <w:pPr>
        <w:pStyle w:val="BodyText"/>
        <w:numPr>
          <w:ilvl w:val="2"/>
          <w:numId w:val="5"/>
        </w:numPr>
        <w:tabs>
          <w:tab w:val="clear" w:pos="1440"/>
        </w:tabs>
        <w:ind w:left="709" w:hanging="709"/>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645DDF">
        <w:rPr>
          <w:lang w:val="lv-LV"/>
        </w:rPr>
        <w:t>Nolikuma</w:t>
      </w:r>
      <w:r w:rsidR="005C54BC">
        <w:rPr>
          <w:lang w:val="lv-LV"/>
        </w:rPr>
        <w:t xml:space="preserve"> 5.punktā noteiktajām prasībām. </w:t>
      </w:r>
      <w:r w:rsidRPr="005E0B03">
        <w:t xml:space="preserve"> </w:t>
      </w:r>
    </w:p>
    <w:p w:rsidR="00952F21" w:rsidRPr="00952F21" w:rsidRDefault="00182A22" w:rsidP="00A444FF">
      <w:pPr>
        <w:pStyle w:val="BodyText"/>
        <w:numPr>
          <w:ilvl w:val="2"/>
          <w:numId w:val="5"/>
        </w:numPr>
        <w:tabs>
          <w:tab w:val="clear" w:pos="1440"/>
        </w:tabs>
        <w:ind w:left="709" w:hanging="709"/>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EB205D">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625F99" w:rsidRPr="00182A22" w:rsidRDefault="00952F21" w:rsidP="00645DDF">
      <w:pPr>
        <w:pStyle w:val="BodyText"/>
        <w:numPr>
          <w:ilvl w:val="1"/>
          <w:numId w:val="5"/>
        </w:numPr>
        <w:tabs>
          <w:tab w:val="clear" w:pos="1637"/>
        </w:tabs>
        <w:spacing w:before="120"/>
        <w:ind w:left="708" w:hanging="646"/>
        <w:rPr>
          <w:b/>
        </w:rPr>
      </w:pPr>
      <w:r>
        <w:rPr>
          <w:b/>
          <w:lang w:val="lv-LV"/>
        </w:rPr>
        <w:t>Finanšu piedāvājuma pārbaude:</w:t>
      </w:r>
    </w:p>
    <w:p w:rsidR="00A84895" w:rsidRDefault="00A84895" w:rsidP="00A444FF">
      <w:pPr>
        <w:numPr>
          <w:ilvl w:val="2"/>
          <w:numId w:val="5"/>
        </w:numPr>
        <w:tabs>
          <w:tab w:val="clear" w:pos="1440"/>
        </w:tabs>
        <w:spacing w:after="0" w:line="240" w:lineRule="auto"/>
        <w:ind w:left="709" w:right="140" w:hanging="709"/>
        <w:contextualSpacing/>
        <w:jc w:val="both"/>
        <w:outlineLvl w:val="0"/>
        <w:rPr>
          <w:rFonts w:ascii="Times New Roman" w:hAnsi="Times New Roman"/>
          <w:sz w:val="24"/>
          <w:szCs w:val="24"/>
        </w:rPr>
      </w:pPr>
      <w:r>
        <w:rPr>
          <w:rFonts w:ascii="Times New Roman" w:hAnsi="Times New Roman"/>
          <w:sz w:val="24"/>
          <w:szCs w:val="24"/>
        </w:rPr>
        <w:t>Vērtējot finanšu piedāvājumu, iepirkuma komisija pārbauda, vai pretendenta iesniegtais finanšu piedāvājums atbilst Nolikuma 6.punktā noteiktajām prasībām.</w:t>
      </w:r>
    </w:p>
    <w:p w:rsidR="00182A22" w:rsidRPr="00A84895" w:rsidRDefault="00645DDF" w:rsidP="00A444FF">
      <w:pPr>
        <w:numPr>
          <w:ilvl w:val="2"/>
          <w:numId w:val="5"/>
        </w:numPr>
        <w:tabs>
          <w:tab w:val="clear" w:pos="1440"/>
        </w:tabs>
        <w:spacing w:after="0" w:line="240" w:lineRule="auto"/>
        <w:ind w:left="709" w:right="140" w:hanging="709"/>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Pr>
          <w:rFonts w:ascii="Times New Roman" w:eastAsia="Times New Roman" w:hAnsi="Times New Roman"/>
          <w:sz w:val="24"/>
          <w:szCs w:val="24"/>
        </w:rPr>
        <w:t>Nolikuma 6.pielikumā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rsidR="00362DCB" w:rsidRPr="00362DCB" w:rsidRDefault="002D0615" w:rsidP="00A444FF">
      <w:pPr>
        <w:numPr>
          <w:ilvl w:val="2"/>
          <w:numId w:val="5"/>
        </w:numPr>
        <w:tabs>
          <w:tab w:val="clear" w:pos="1440"/>
        </w:tab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ikā Iepirkuma komisija pārbauda</w:t>
      </w:r>
      <w:r w:rsidR="00362DCB" w:rsidRPr="00362DCB">
        <w:rPr>
          <w:rFonts w:ascii="Times New Roman" w:eastAsia="Times New Roman" w:hAnsi="Times New Roman"/>
          <w:sz w:val="24"/>
          <w:szCs w:val="24"/>
        </w:rPr>
        <w:t xml:space="preserve"> vai nav pieļautas aritmētiskās kļūdas.</w:t>
      </w:r>
    </w:p>
    <w:p w:rsidR="00362DCB" w:rsidRPr="00362DCB" w:rsidRDefault="002D0615" w:rsidP="00A444FF">
      <w:pPr>
        <w:widowControl w:val="0"/>
        <w:numPr>
          <w:ilvl w:val="2"/>
          <w:numId w:val="5"/>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rsidR="00362DCB" w:rsidRPr="00362DCB" w:rsidRDefault="00362DCB" w:rsidP="00A444FF">
      <w:pPr>
        <w:widowControl w:val="0"/>
        <w:numPr>
          <w:ilvl w:val="2"/>
          <w:numId w:val="5"/>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CE07B2" w:rsidRPr="00191144" w:rsidRDefault="00362DCB" w:rsidP="00A444FF">
      <w:pPr>
        <w:widowControl w:val="0"/>
        <w:numPr>
          <w:ilvl w:val="2"/>
          <w:numId w:val="5"/>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527355" w:rsidRPr="00527355" w:rsidRDefault="00527355" w:rsidP="00A444FF">
      <w:pPr>
        <w:pStyle w:val="ListParagraph"/>
        <w:numPr>
          <w:ilvl w:val="2"/>
          <w:numId w:val="5"/>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527355" w:rsidRPr="00527355" w:rsidRDefault="00527355" w:rsidP="00A444FF">
      <w:pPr>
        <w:pStyle w:val="ListParagraph"/>
        <w:numPr>
          <w:ilvl w:val="2"/>
          <w:numId w:val="5"/>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rsidR="00BB56A1" w:rsidRPr="00BE2262" w:rsidRDefault="00527355" w:rsidP="00A444FF">
      <w:pPr>
        <w:pStyle w:val="ListParagraph"/>
        <w:numPr>
          <w:ilvl w:val="2"/>
          <w:numId w:val="5"/>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rsidR="008061E9" w:rsidRPr="00CE07B2" w:rsidRDefault="00362DCB" w:rsidP="00CE07B2">
      <w:pPr>
        <w:widowControl w:val="0"/>
        <w:numPr>
          <w:ilvl w:val="0"/>
          <w:numId w:val="5"/>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FE7D25">
      <w:pPr>
        <w:numPr>
          <w:ilvl w:val="1"/>
          <w:numId w:val="5"/>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 atzīst pretendentu, kurš atbilst visām Nolikuma prasībām un ir iesniedzis Nolikuma prasībām atbilstošu piedāvājumu ar viszemāko cenu.</w:t>
      </w:r>
    </w:p>
    <w:p w:rsidR="004178EC" w:rsidRPr="00221A52" w:rsidRDefault="004A411F" w:rsidP="00221A52">
      <w:pPr>
        <w:widowControl w:val="0"/>
        <w:numPr>
          <w:ilvl w:val="1"/>
          <w:numId w:val="5"/>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ka uz Pretendentu attiecas kāds no Publisko </w:t>
      </w:r>
      <w:r>
        <w:rPr>
          <w:rFonts w:ascii="Times New Roman" w:hAnsi="Times New Roman"/>
          <w:sz w:val="24"/>
          <w:szCs w:val="24"/>
        </w:rPr>
        <w:lastRenderedPageBreak/>
        <w:t>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rsidR="00326A72" w:rsidRDefault="00326A72" w:rsidP="00221A52">
      <w:pPr>
        <w:widowControl w:val="0"/>
        <w:numPr>
          <w:ilvl w:val="1"/>
          <w:numId w:val="5"/>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Ja attiecīgais pretendents noteiktajā termiņā neiesniedz Nolikuma 8.sadaļā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cenu.</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362DCB" w:rsidP="00BD7AAF">
      <w:pPr>
        <w:pStyle w:val="ListParagraph1"/>
        <w:numPr>
          <w:ilvl w:val="0"/>
          <w:numId w:val="5"/>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rsidR="00362DCB" w:rsidRPr="00362DCB" w:rsidRDefault="00362DCB" w:rsidP="00C65D10">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rsidR="00883162" w:rsidRPr="00BB56A1" w:rsidRDefault="00362DCB" w:rsidP="00BB56A1">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Pasūtītājs slēgs iepirkuma līgumu, pamatojoties uz izraudzītā pretendenta piedāvājumu un saskaņā ar iepirkuma līguma projektu (Nolikuma </w:t>
      </w:r>
      <w:r w:rsidR="0074414A">
        <w:rPr>
          <w:rFonts w:ascii="Times New Roman" w:eastAsia="Times New Roman" w:hAnsi="Times New Roman"/>
          <w:sz w:val="24"/>
          <w:szCs w:val="24"/>
        </w:rPr>
        <w:t>5</w:t>
      </w:r>
      <w:r w:rsidRPr="00362DCB">
        <w:rPr>
          <w:rFonts w:ascii="Times New Roman" w:eastAsia="Times New Roman" w:hAnsi="Times New Roman"/>
          <w:sz w:val="24"/>
          <w:szCs w:val="24"/>
        </w:rPr>
        <w:t>.pielikums). Iepirkuma līguma pamatnosacījumi netiks mainīti.</w:t>
      </w:r>
      <w:r w:rsidR="009E41C0" w:rsidRPr="00BB56A1">
        <w:rPr>
          <w:rFonts w:ascii="Times New Roman" w:eastAsia="Times New Roman" w:hAnsi="Times New Roman"/>
          <w:sz w:val="24"/>
          <w:szCs w:val="24"/>
          <w:lang w:eastAsia="lv-LV"/>
        </w:rPr>
        <w:t xml:space="preserve"> </w:t>
      </w:r>
    </w:p>
    <w:p w:rsidR="00362DCB" w:rsidRPr="00362DCB" w:rsidRDefault="00362DCB" w:rsidP="00C65D10">
      <w:pPr>
        <w:widowControl w:val="0"/>
        <w:numPr>
          <w:ilvl w:val="1"/>
          <w:numId w:val="5"/>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Konkursa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Līguma slēgšanas tiesību piešķiršanu stājies spēkā, atsakās </w:t>
      </w:r>
      <w:r w:rsidRPr="00362DCB">
        <w:rPr>
          <w:rFonts w:ascii="Times New Roman" w:eastAsia="Times New Roman" w:hAnsi="Times New Roman"/>
          <w:sz w:val="24"/>
          <w:szCs w:val="24"/>
          <w:lang w:eastAsia="lv-LV"/>
        </w:rPr>
        <w:t xml:space="preserve">slēgt Līgumu ar Pasūtītāju, vai Konkursa uzvarētājs atsauc savu piedāvājumu vai Personu apvienība 15 (piecpadsmit) dienu laikā, pēc Publisko iepirkumu likuma 67.panta ceturtajā daļā minētā nogaidīšanas termiņa beigām, nereģistrē personālsabiedrību, Komisija izvēlas Pretendentu, kurš  piedāvājis nākamo viszemāko cenu. Pirms lēmuma pieņemšanas par Līguma slēgšanu ar nākamo Pretendentu, kurš piedāvājis viszemāko cenu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 </w:t>
      </w:r>
    </w:p>
    <w:p w:rsidR="00362DCB" w:rsidRPr="00362DCB" w:rsidRDefault="00362DCB" w:rsidP="00C65D10">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nākamais Pretendents, kurš piedāvājis zemāko cenu, ir uzskatāms par vienu tirgus dalībnieku kopā ar sākotnēji izraudzīto Pretendentu, vai nākamais Pretendents atsakās slēgt Līgumu, Pasūtītājs pieņem lēmumu pārtraukt Konkursu, neizvēloties nevienu piedāvājumu.</w:t>
      </w:r>
    </w:p>
    <w:p w:rsidR="009E44A6" w:rsidRPr="00436794" w:rsidRDefault="009E44A6" w:rsidP="009E44A6">
      <w:pPr>
        <w:spacing w:after="0" w:line="240" w:lineRule="auto"/>
        <w:contextualSpacing/>
        <w:jc w:val="both"/>
        <w:rPr>
          <w:rFonts w:ascii="Times New Roman" w:eastAsia="Times New Roman" w:hAnsi="Times New Roman"/>
          <w:sz w:val="24"/>
          <w:szCs w:val="24"/>
        </w:rPr>
      </w:pPr>
    </w:p>
    <w:p w:rsidR="008061E9" w:rsidRPr="009E44A6" w:rsidRDefault="00362DCB" w:rsidP="00BA279B">
      <w:pPr>
        <w:pStyle w:val="ListParagraph1"/>
        <w:keepNext/>
        <w:numPr>
          <w:ilvl w:val="0"/>
          <w:numId w:val="5"/>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BA279B">
      <w:pPr>
        <w:keepNext/>
        <w:numPr>
          <w:ilvl w:val="1"/>
          <w:numId w:val="5"/>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BA279B">
      <w:pPr>
        <w:numPr>
          <w:ilvl w:val="2"/>
          <w:numId w:val="5"/>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BA279B">
      <w:pPr>
        <w:numPr>
          <w:ilvl w:val="1"/>
          <w:numId w:val="5"/>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74414A">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bookmarkStart w:id="30" w:name="_GoBack"/>
      <w:bookmarkEnd w:id="30"/>
    </w:p>
    <w:p w:rsidR="008061E9" w:rsidRPr="00362DCB" w:rsidRDefault="00362DCB" w:rsidP="00BA279B">
      <w:pPr>
        <w:numPr>
          <w:ilvl w:val="0"/>
          <w:numId w:val="5"/>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lastRenderedPageBreak/>
        <w:t xml:space="preserve"> PRETENDENTA TIESĪBAS UN PIENĀKUMI</w:t>
      </w:r>
    </w:p>
    <w:p w:rsidR="00362DCB" w:rsidRPr="00362DCB" w:rsidRDefault="00362DCB" w:rsidP="009D75A1">
      <w:pPr>
        <w:numPr>
          <w:ilvl w:val="1"/>
          <w:numId w:val="5"/>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34513F">
      <w:pPr>
        <w:numPr>
          <w:ilvl w:val="1"/>
          <w:numId w:val="5"/>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A444FF">
        <w:rPr>
          <w:rFonts w:ascii="Times New Roman" w:eastAsia="Times New Roman" w:hAnsi="Times New Roman"/>
          <w:sz w:val="23"/>
          <w:szCs w:val="23"/>
        </w:rPr>
        <w:t>PSKUS 2016/155</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833DC5" w:rsidRPr="004C2586" w:rsidRDefault="00833DC5" w:rsidP="00833DC5">
      <w:pPr>
        <w:spacing w:after="0" w:line="240" w:lineRule="auto"/>
        <w:jc w:val="center"/>
        <w:rPr>
          <w:rFonts w:ascii="Times New Roman" w:eastAsia="Times New Roman" w:hAnsi="Times New Roman"/>
          <w:b/>
          <w:sz w:val="23"/>
          <w:szCs w:val="23"/>
        </w:rPr>
      </w:pPr>
      <w:r w:rsidRPr="004C2586">
        <w:rPr>
          <w:rFonts w:ascii="Times New Roman" w:eastAsia="Times New Roman" w:hAnsi="Times New Roman"/>
          <w:sz w:val="23"/>
          <w:szCs w:val="23"/>
        </w:rPr>
        <w:t>„</w:t>
      </w:r>
      <w:r w:rsidR="00A444FF">
        <w:rPr>
          <w:rFonts w:ascii="Times New Roman" w:hAnsi="Times New Roman"/>
          <w:sz w:val="23"/>
          <w:szCs w:val="23"/>
        </w:rPr>
        <w:t>Ievadslūžu un perifēro asinsvadu balonizpletošo stent-protēžu piegāde</w:t>
      </w:r>
      <w:r w:rsidRPr="004C2586">
        <w:rPr>
          <w:rFonts w:ascii="Times New Roman" w:eastAsia="Times New Roman" w:hAnsi="Times New Roman"/>
          <w:sz w:val="23"/>
          <w:szCs w:val="23"/>
        </w:rPr>
        <w:t>”</w:t>
      </w:r>
    </w:p>
    <w:p w:rsidR="00833DC5" w:rsidRPr="004C2586" w:rsidRDefault="00833DC5" w:rsidP="00833DC5">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 xml:space="preserve"> (i</w:t>
      </w:r>
      <w:r w:rsidR="00A444FF">
        <w:rPr>
          <w:rFonts w:ascii="Times New Roman" w:eastAsia="Times New Roman" w:hAnsi="Times New Roman"/>
          <w:sz w:val="23"/>
          <w:szCs w:val="23"/>
        </w:rPr>
        <w:t>dentifikācijas Nr. PSKUS 2016/155</w:t>
      </w:r>
      <w:r w:rsidRPr="004C2586">
        <w:rPr>
          <w:rFonts w:ascii="Times New Roman" w:eastAsia="Times New Roman" w:hAnsi="Times New Roman"/>
          <w:sz w:val="23"/>
          <w:szCs w:val="23"/>
        </w:rPr>
        <w:t>)</w:t>
      </w: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tbl>
      <w:tblPr>
        <w:tblStyle w:val="TableGrid6"/>
        <w:tblW w:w="0" w:type="auto"/>
        <w:tblLook w:val="04A0" w:firstRow="1" w:lastRow="0" w:firstColumn="1" w:lastColumn="0" w:noHBand="0" w:noVBand="1"/>
      </w:tblPr>
      <w:tblGrid>
        <w:gridCol w:w="1958"/>
        <w:gridCol w:w="733"/>
        <w:gridCol w:w="4854"/>
        <w:gridCol w:w="1516"/>
      </w:tblGrid>
      <w:tr w:rsidR="00284E17" w:rsidRPr="00284E17" w:rsidTr="00B13E42">
        <w:tc>
          <w:tcPr>
            <w:tcW w:w="1958" w:type="dxa"/>
            <w:vAlign w:val="center"/>
          </w:tcPr>
          <w:p w:rsidR="00284E17" w:rsidRPr="00284E17" w:rsidRDefault="00284E17" w:rsidP="00284E17">
            <w:pPr>
              <w:spacing w:after="0" w:line="240" w:lineRule="auto"/>
              <w:jc w:val="center"/>
              <w:rPr>
                <w:b/>
                <w:sz w:val="20"/>
                <w:szCs w:val="20"/>
              </w:rPr>
            </w:pPr>
            <w:r w:rsidRPr="00284E17">
              <w:rPr>
                <w:b/>
                <w:sz w:val="20"/>
                <w:szCs w:val="20"/>
              </w:rPr>
              <w:t>Nosaukums</w:t>
            </w:r>
          </w:p>
        </w:tc>
        <w:tc>
          <w:tcPr>
            <w:tcW w:w="733" w:type="dxa"/>
            <w:vAlign w:val="center"/>
          </w:tcPr>
          <w:p w:rsidR="00284E17" w:rsidRPr="00284E17" w:rsidRDefault="00284E17" w:rsidP="00284E17">
            <w:pPr>
              <w:spacing w:after="0" w:line="240" w:lineRule="auto"/>
              <w:jc w:val="center"/>
              <w:rPr>
                <w:b/>
                <w:sz w:val="20"/>
                <w:szCs w:val="20"/>
              </w:rPr>
            </w:pPr>
            <w:r w:rsidRPr="00284E17">
              <w:rPr>
                <w:b/>
                <w:sz w:val="20"/>
                <w:szCs w:val="20"/>
              </w:rPr>
              <w:t>N.p.k.</w:t>
            </w:r>
          </w:p>
        </w:tc>
        <w:tc>
          <w:tcPr>
            <w:tcW w:w="4854" w:type="dxa"/>
            <w:vAlign w:val="center"/>
          </w:tcPr>
          <w:p w:rsidR="00284E17" w:rsidRPr="00284E17" w:rsidRDefault="00284E17" w:rsidP="00284E17">
            <w:pPr>
              <w:spacing w:after="0" w:line="240" w:lineRule="auto"/>
              <w:jc w:val="center"/>
              <w:rPr>
                <w:b/>
                <w:sz w:val="20"/>
                <w:szCs w:val="20"/>
              </w:rPr>
            </w:pPr>
            <w:r w:rsidRPr="00284E17">
              <w:rPr>
                <w:b/>
                <w:sz w:val="20"/>
                <w:szCs w:val="20"/>
                <w:lang w:eastAsia="lv-LV"/>
              </w:rPr>
              <w:t>Tehniskā specifikācija (minimālās prasības)</w:t>
            </w:r>
          </w:p>
        </w:tc>
        <w:tc>
          <w:tcPr>
            <w:tcW w:w="1516" w:type="dxa"/>
            <w:vAlign w:val="center"/>
          </w:tcPr>
          <w:p w:rsidR="00284E17" w:rsidRPr="00284E17" w:rsidRDefault="00284E17" w:rsidP="00284E17">
            <w:pPr>
              <w:spacing w:after="0" w:line="240" w:lineRule="auto"/>
              <w:jc w:val="center"/>
              <w:rPr>
                <w:b/>
                <w:sz w:val="20"/>
                <w:szCs w:val="20"/>
              </w:rPr>
            </w:pPr>
            <w:r w:rsidRPr="00284E17">
              <w:rPr>
                <w:b/>
                <w:sz w:val="20"/>
                <w:szCs w:val="20"/>
              </w:rPr>
              <w:t xml:space="preserve">Nepieciešamais daudzums </w:t>
            </w:r>
            <w:r>
              <w:rPr>
                <w:b/>
                <w:sz w:val="20"/>
                <w:szCs w:val="20"/>
              </w:rPr>
              <w:t>24 (divdesmit četriem</w:t>
            </w:r>
            <w:r w:rsidRPr="00284E17">
              <w:rPr>
                <w:b/>
                <w:sz w:val="20"/>
                <w:szCs w:val="20"/>
              </w:rPr>
              <w:t>) mēnešiem</w:t>
            </w:r>
          </w:p>
        </w:tc>
      </w:tr>
      <w:tr w:rsidR="00284E17" w:rsidRPr="00284E17" w:rsidTr="00B13E42">
        <w:tc>
          <w:tcPr>
            <w:tcW w:w="1958" w:type="dxa"/>
            <w:vMerge w:val="restart"/>
            <w:vAlign w:val="center"/>
          </w:tcPr>
          <w:p w:rsidR="00284E17" w:rsidRPr="00284E17" w:rsidRDefault="00292511" w:rsidP="00284E17">
            <w:pPr>
              <w:spacing w:after="0" w:line="240" w:lineRule="auto"/>
              <w:jc w:val="center"/>
              <w:rPr>
                <w:bCs/>
                <w:sz w:val="20"/>
                <w:szCs w:val="20"/>
              </w:rPr>
            </w:pPr>
            <w:r w:rsidRPr="00C2344C">
              <w:rPr>
                <w:b/>
                <w:sz w:val="20"/>
                <w:szCs w:val="20"/>
              </w:rPr>
              <w:t>Ievadslūžas liela diametra ierīču tālākai ievadei</w:t>
            </w:r>
          </w:p>
        </w:tc>
        <w:tc>
          <w:tcPr>
            <w:tcW w:w="733" w:type="dxa"/>
            <w:vAlign w:val="center"/>
          </w:tcPr>
          <w:p w:rsidR="00284E17" w:rsidRPr="00284E17" w:rsidRDefault="00284E17" w:rsidP="00284E17">
            <w:pPr>
              <w:spacing w:after="0" w:line="240" w:lineRule="auto"/>
              <w:jc w:val="center"/>
              <w:rPr>
                <w:sz w:val="20"/>
                <w:szCs w:val="20"/>
              </w:rPr>
            </w:pPr>
          </w:p>
        </w:tc>
        <w:tc>
          <w:tcPr>
            <w:tcW w:w="4854" w:type="dxa"/>
          </w:tcPr>
          <w:p w:rsidR="00284E17" w:rsidRPr="00284E17" w:rsidRDefault="00284E17" w:rsidP="00284E17">
            <w:pPr>
              <w:spacing w:after="0" w:line="240" w:lineRule="auto"/>
              <w:jc w:val="both"/>
              <w:rPr>
                <w:sz w:val="20"/>
                <w:szCs w:val="20"/>
              </w:rPr>
            </w:pPr>
            <w:r w:rsidRPr="00284E17">
              <w:rPr>
                <w:sz w:val="20"/>
                <w:szCs w:val="20"/>
              </w:rPr>
              <w:t>Preces ražotājs:</w:t>
            </w:r>
          </w:p>
        </w:tc>
        <w:tc>
          <w:tcPr>
            <w:tcW w:w="1516" w:type="dxa"/>
            <w:vMerge w:val="restart"/>
            <w:vAlign w:val="center"/>
          </w:tcPr>
          <w:p w:rsidR="00284E17" w:rsidRPr="00284E17" w:rsidRDefault="00292511" w:rsidP="00284E17">
            <w:pPr>
              <w:spacing w:after="0" w:line="240" w:lineRule="auto"/>
              <w:jc w:val="center"/>
              <w:rPr>
                <w:bCs/>
                <w:sz w:val="20"/>
                <w:szCs w:val="20"/>
              </w:rPr>
            </w:pPr>
            <w:r>
              <w:rPr>
                <w:bCs/>
                <w:sz w:val="20"/>
                <w:szCs w:val="20"/>
              </w:rPr>
              <w:t>80</w:t>
            </w:r>
          </w:p>
        </w:tc>
      </w:tr>
      <w:tr w:rsidR="00284E17" w:rsidRPr="00284E17" w:rsidTr="00B13E42">
        <w:tc>
          <w:tcPr>
            <w:tcW w:w="1958" w:type="dxa"/>
            <w:vMerge/>
            <w:vAlign w:val="center"/>
          </w:tcPr>
          <w:p w:rsidR="00284E17" w:rsidRPr="00284E17" w:rsidRDefault="00284E17" w:rsidP="00284E17">
            <w:pPr>
              <w:spacing w:after="0" w:line="240" w:lineRule="auto"/>
              <w:jc w:val="center"/>
              <w:rPr>
                <w:bCs/>
                <w:sz w:val="20"/>
                <w:szCs w:val="20"/>
              </w:rPr>
            </w:pPr>
          </w:p>
        </w:tc>
        <w:tc>
          <w:tcPr>
            <w:tcW w:w="733" w:type="dxa"/>
            <w:vAlign w:val="center"/>
          </w:tcPr>
          <w:p w:rsidR="00284E17" w:rsidRPr="00284E17" w:rsidRDefault="00284E17" w:rsidP="00284E17">
            <w:pPr>
              <w:spacing w:after="0" w:line="240" w:lineRule="auto"/>
              <w:jc w:val="center"/>
              <w:rPr>
                <w:sz w:val="20"/>
                <w:szCs w:val="20"/>
              </w:rPr>
            </w:pPr>
          </w:p>
        </w:tc>
        <w:tc>
          <w:tcPr>
            <w:tcW w:w="4854" w:type="dxa"/>
          </w:tcPr>
          <w:p w:rsidR="00284E17" w:rsidRPr="00284E17" w:rsidRDefault="00284E17" w:rsidP="00284E17">
            <w:pPr>
              <w:spacing w:after="0" w:line="240" w:lineRule="auto"/>
              <w:jc w:val="both"/>
              <w:rPr>
                <w:sz w:val="20"/>
                <w:szCs w:val="20"/>
              </w:rPr>
            </w:pPr>
            <w:r w:rsidRPr="00284E17">
              <w:rPr>
                <w:sz w:val="20"/>
                <w:szCs w:val="20"/>
              </w:rPr>
              <w:t>Preces modelis:</w:t>
            </w:r>
          </w:p>
        </w:tc>
        <w:tc>
          <w:tcPr>
            <w:tcW w:w="1516" w:type="dxa"/>
            <w:vMerge/>
            <w:vAlign w:val="center"/>
          </w:tcPr>
          <w:p w:rsidR="00284E17" w:rsidRPr="00284E17" w:rsidRDefault="00284E17" w:rsidP="00284E17">
            <w:pPr>
              <w:spacing w:after="0" w:line="240" w:lineRule="auto"/>
              <w:jc w:val="center"/>
              <w:rPr>
                <w:bCs/>
                <w:sz w:val="20"/>
                <w:szCs w:val="20"/>
              </w:rPr>
            </w:pPr>
          </w:p>
        </w:tc>
      </w:tr>
      <w:tr w:rsidR="00284E17" w:rsidRPr="00284E17" w:rsidTr="00B13E42">
        <w:tc>
          <w:tcPr>
            <w:tcW w:w="1958" w:type="dxa"/>
            <w:vMerge/>
            <w:vAlign w:val="center"/>
          </w:tcPr>
          <w:p w:rsidR="00284E17" w:rsidRPr="00284E17" w:rsidRDefault="00284E17" w:rsidP="00284E17">
            <w:pPr>
              <w:spacing w:after="0" w:line="240" w:lineRule="auto"/>
              <w:jc w:val="center"/>
              <w:rPr>
                <w:bCs/>
                <w:sz w:val="20"/>
                <w:szCs w:val="20"/>
              </w:rPr>
            </w:pPr>
          </w:p>
        </w:tc>
        <w:tc>
          <w:tcPr>
            <w:tcW w:w="733" w:type="dxa"/>
            <w:shd w:val="clear" w:color="auto" w:fill="D9D9D9" w:themeFill="background1" w:themeFillShade="D9"/>
            <w:vAlign w:val="center"/>
          </w:tcPr>
          <w:p w:rsidR="00284E17" w:rsidRPr="00284E17" w:rsidRDefault="00284E17" w:rsidP="00284E17">
            <w:pPr>
              <w:spacing w:after="0" w:line="240" w:lineRule="auto"/>
              <w:jc w:val="center"/>
              <w:rPr>
                <w:sz w:val="20"/>
                <w:szCs w:val="20"/>
              </w:rPr>
            </w:pPr>
            <w:r w:rsidRPr="00284E17">
              <w:rPr>
                <w:sz w:val="20"/>
                <w:szCs w:val="20"/>
              </w:rPr>
              <w:t>1.</w:t>
            </w:r>
          </w:p>
        </w:tc>
        <w:tc>
          <w:tcPr>
            <w:tcW w:w="4854" w:type="dxa"/>
            <w:shd w:val="clear" w:color="auto" w:fill="D9D9D9" w:themeFill="background1" w:themeFillShade="D9"/>
          </w:tcPr>
          <w:p w:rsidR="00284E17" w:rsidRPr="00284E17" w:rsidRDefault="00284E17" w:rsidP="00284E17">
            <w:pPr>
              <w:spacing w:after="0" w:line="240" w:lineRule="auto"/>
              <w:jc w:val="both"/>
              <w:rPr>
                <w:b/>
                <w:i/>
                <w:sz w:val="20"/>
                <w:szCs w:val="20"/>
              </w:rPr>
            </w:pPr>
            <w:r w:rsidRPr="00284E17">
              <w:rPr>
                <w:b/>
                <w:i/>
                <w:sz w:val="20"/>
                <w:szCs w:val="20"/>
              </w:rPr>
              <w:t>Tehniskās prasības:</w:t>
            </w:r>
          </w:p>
        </w:tc>
        <w:tc>
          <w:tcPr>
            <w:tcW w:w="1516" w:type="dxa"/>
            <w:vMerge/>
            <w:vAlign w:val="center"/>
          </w:tcPr>
          <w:p w:rsidR="00284E17" w:rsidRPr="00284E17" w:rsidRDefault="00284E17" w:rsidP="00284E17">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1.1.</w:t>
            </w:r>
          </w:p>
        </w:tc>
        <w:tc>
          <w:tcPr>
            <w:tcW w:w="4854" w:type="dxa"/>
          </w:tcPr>
          <w:p w:rsidR="00292511" w:rsidRDefault="00292511" w:rsidP="00292511">
            <w:pPr>
              <w:spacing w:after="0" w:line="240" w:lineRule="auto"/>
              <w:jc w:val="both"/>
              <w:rPr>
                <w:sz w:val="20"/>
                <w:szCs w:val="20"/>
              </w:rPr>
            </w:pPr>
            <w:r>
              <w:rPr>
                <w:sz w:val="20"/>
                <w:szCs w:val="20"/>
              </w:rPr>
              <w:t>Ievadslūžu izmērs robežās: no 16F – 18F</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1.2.</w:t>
            </w:r>
          </w:p>
        </w:tc>
        <w:tc>
          <w:tcPr>
            <w:tcW w:w="4854" w:type="dxa"/>
          </w:tcPr>
          <w:p w:rsidR="00292511" w:rsidRDefault="00292511" w:rsidP="00292511">
            <w:pPr>
              <w:spacing w:after="0" w:line="240" w:lineRule="auto"/>
              <w:jc w:val="both"/>
              <w:rPr>
                <w:sz w:val="20"/>
                <w:szCs w:val="20"/>
              </w:rPr>
            </w:pPr>
            <w:r>
              <w:rPr>
                <w:sz w:val="20"/>
                <w:szCs w:val="20"/>
              </w:rPr>
              <w:t>Ievadslūžu garums robežās: no 20cm – 35 cm</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1.3.</w:t>
            </w:r>
          </w:p>
        </w:tc>
        <w:tc>
          <w:tcPr>
            <w:tcW w:w="4854" w:type="dxa"/>
          </w:tcPr>
          <w:p w:rsidR="00292511" w:rsidRDefault="00292511" w:rsidP="00292511">
            <w:pPr>
              <w:spacing w:after="0" w:line="240" w:lineRule="auto"/>
              <w:jc w:val="both"/>
              <w:rPr>
                <w:sz w:val="20"/>
                <w:szCs w:val="20"/>
              </w:rPr>
            </w:pPr>
            <w:r>
              <w:rPr>
                <w:sz w:val="20"/>
                <w:szCs w:val="20"/>
              </w:rPr>
              <w:t>Ievadslūžas ar hemostatisku vārstu</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1.4.</w:t>
            </w:r>
          </w:p>
        </w:tc>
        <w:tc>
          <w:tcPr>
            <w:tcW w:w="4854" w:type="dxa"/>
          </w:tcPr>
          <w:p w:rsidR="00292511" w:rsidRDefault="00292511" w:rsidP="00292511">
            <w:pPr>
              <w:spacing w:after="0" w:line="240" w:lineRule="auto"/>
              <w:jc w:val="both"/>
              <w:rPr>
                <w:sz w:val="20"/>
                <w:szCs w:val="20"/>
              </w:rPr>
            </w:pPr>
            <w:r>
              <w:rPr>
                <w:sz w:val="20"/>
                <w:szCs w:val="20"/>
              </w:rPr>
              <w:t>Saderīgas ar vadītājstīgu max. Ø 0.038ʺ</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1.5.</w:t>
            </w:r>
          </w:p>
        </w:tc>
        <w:tc>
          <w:tcPr>
            <w:tcW w:w="4854" w:type="dxa"/>
          </w:tcPr>
          <w:p w:rsidR="00292511" w:rsidRDefault="00292511" w:rsidP="00292511">
            <w:pPr>
              <w:spacing w:after="0" w:line="240" w:lineRule="auto"/>
              <w:jc w:val="both"/>
              <w:rPr>
                <w:sz w:val="20"/>
                <w:szCs w:val="20"/>
              </w:rPr>
            </w:pPr>
            <w:r>
              <w:rPr>
                <w:sz w:val="20"/>
                <w:szCs w:val="20"/>
              </w:rPr>
              <w:t>Uz dilatatora norādes par saderību ar vadītājstīgu un ievadslūžām</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1.6.</w:t>
            </w:r>
          </w:p>
        </w:tc>
        <w:tc>
          <w:tcPr>
            <w:tcW w:w="4854" w:type="dxa"/>
          </w:tcPr>
          <w:p w:rsidR="00292511" w:rsidRDefault="00292511" w:rsidP="00292511">
            <w:pPr>
              <w:spacing w:after="0" w:line="240" w:lineRule="auto"/>
              <w:jc w:val="both"/>
              <w:rPr>
                <w:sz w:val="20"/>
                <w:szCs w:val="20"/>
              </w:rPr>
            </w:pPr>
            <w:r>
              <w:rPr>
                <w:sz w:val="20"/>
                <w:szCs w:val="20"/>
              </w:rPr>
              <w:t>Ārējā ievadslūžu virsma ar hidrofīlu pārklājumu</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1.7.</w:t>
            </w:r>
          </w:p>
        </w:tc>
        <w:tc>
          <w:tcPr>
            <w:tcW w:w="4854" w:type="dxa"/>
          </w:tcPr>
          <w:p w:rsidR="00292511" w:rsidRDefault="00292511" w:rsidP="00292511">
            <w:pPr>
              <w:spacing w:after="0" w:line="240" w:lineRule="auto"/>
              <w:jc w:val="both"/>
              <w:rPr>
                <w:sz w:val="20"/>
                <w:szCs w:val="20"/>
              </w:rPr>
            </w:pPr>
            <w:r>
              <w:rPr>
                <w:sz w:val="20"/>
                <w:szCs w:val="20"/>
              </w:rPr>
              <w:t>Uz ievadslūžām jābūt cm gradācijas atzīmes</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696277">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1.8.</w:t>
            </w:r>
          </w:p>
        </w:tc>
        <w:tc>
          <w:tcPr>
            <w:tcW w:w="4854" w:type="dxa"/>
          </w:tcPr>
          <w:p w:rsidR="00292511" w:rsidRDefault="00292511" w:rsidP="00292511">
            <w:pPr>
              <w:spacing w:after="0" w:line="240" w:lineRule="auto"/>
              <w:jc w:val="both"/>
              <w:rPr>
                <w:sz w:val="20"/>
                <w:szCs w:val="20"/>
              </w:rPr>
            </w:pPr>
            <w:r>
              <w:rPr>
                <w:sz w:val="20"/>
                <w:szCs w:val="20"/>
              </w:rPr>
              <w:t>Atraumatisks ievadslūžu distālais gals ar marķētu joslu</w:t>
            </w:r>
          </w:p>
        </w:tc>
        <w:tc>
          <w:tcPr>
            <w:tcW w:w="1516" w:type="dxa"/>
            <w:vMerge/>
            <w:vAlign w:val="center"/>
          </w:tcPr>
          <w:p w:rsidR="00292511" w:rsidRPr="00284E17" w:rsidRDefault="00292511" w:rsidP="00292511">
            <w:pPr>
              <w:spacing w:after="0" w:line="240" w:lineRule="auto"/>
              <w:jc w:val="center"/>
              <w:rPr>
                <w:bCs/>
                <w:sz w:val="20"/>
                <w:szCs w:val="20"/>
              </w:rPr>
            </w:pPr>
          </w:p>
        </w:tc>
      </w:tr>
      <w:tr w:rsidR="00284E17" w:rsidRPr="00284E17" w:rsidTr="00B13E42">
        <w:tc>
          <w:tcPr>
            <w:tcW w:w="1958" w:type="dxa"/>
            <w:vMerge w:val="restart"/>
            <w:vAlign w:val="center"/>
          </w:tcPr>
          <w:p w:rsidR="00292511" w:rsidRDefault="00292511" w:rsidP="00284E17">
            <w:pPr>
              <w:spacing w:after="0" w:line="240" w:lineRule="auto"/>
              <w:jc w:val="center"/>
              <w:rPr>
                <w:b/>
                <w:sz w:val="20"/>
                <w:szCs w:val="20"/>
              </w:rPr>
            </w:pPr>
            <w:r>
              <w:rPr>
                <w:b/>
                <w:sz w:val="20"/>
                <w:szCs w:val="20"/>
              </w:rPr>
              <w:t xml:space="preserve">Perifēro asinsvadu balonizpletoša </w:t>
            </w:r>
          </w:p>
          <w:p w:rsidR="00284E17" w:rsidRPr="00284E17" w:rsidRDefault="00292511" w:rsidP="00284E17">
            <w:pPr>
              <w:spacing w:after="0" w:line="240" w:lineRule="auto"/>
              <w:jc w:val="center"/>
              <w:rPr>
                <w:bCs/>
                <w:sz w:val="20"/>
                <w:szCs w:val="20"/>
              </w:rPr>
            </w:pPr>
            <w:r>
              <w:rPr>
                <w:b/>
                <w:sz w:val="20"/>
                <w:szCs w:val="20"/>
              </w:rPr>
              <w:t>stent - protēze</w:t>
            </w:r>
          </w:p>
        </w:tc>
        <w:tc>
          <w:tcPr>
            <w:tcW w:w="733" w:type="dxa"/>
            <w:vAlign w:val="center"/>
          </w:tcPr>
          <w:p w:rsidR="00284E17" w:rsidRPr="00284E17" w:rsidRDefault="00284E17" w:rsidP="00284E17">
            <w:pPr>
              <w:spacing w:after="0" w:line="240" w:lineRule="auto"/>
              <w:jc w:val="center"/>
              <w:rPr>
                <w:bCs/>
                <w:sz w:val="20"/>
                <w:szCs w:val="20"/>
              </w:rPr>
            </w:pPr>
          </w:p>
        </w:tc>
        <w:tc>
          <w:tcPr>
            <w:tcW w:w="4854" w:type="dxa"/>
          </w:tcPr>
          <w:p w:rsidR="00284E17" w:rsidRPr="00284E17" w:rsidRDefault="00284E17" w:rsidP="00284E17">
            <w:pPr>
              <w:spacing w:after="0" w:line="240" w:lineRule="auto"/>
              <w:jc w:val="both"/>
              <w:rPr>
                <w:sz w:val="20"/>
                <w:szCs w:val="20"/>
              </w:rPr>
            </w:pPr>
            <w:r w:rsidRPr="00284E17">
              <w:rPr>
                <w:sz w:val="20"/>
                <w:szCs w:val="20"/>
              </w:rPr>
              <w:t>Preces ražotājs:</w:t>
            </w:r>
          </w:p>
        </w:tc>
        <w:tc>
          <w:tcPr>
            <w:tcW w:w="1516" w:type="dxa"/>
            <w:vMerge w:val="restart"/>
            <w:vAlign w:val="center"/>
          </w:tcPr>
          <w:p w:rsidR="00284E17" w:rsidRPr="00284E17" w:rsidRDefault="009E50EB" w:rsidP="00284E17">
            <w:pPr>
              <w:spacing w:after="0" w:line="240" w:lineRule="auto"/>
              <w:jc w:val="center"/>
              <w:rPr>
                <w:bCs/>
                <w:sz w:val="20"/>
                <w:szCs w:val="20"/>
              </w:rPr>
            </w:pPr>
            <w:r>
              <w:rPr>
                <w:bCs/>
                <w:sz w:val="20"/>
                <w:szCs w:val="20"/>
              </w:rPr>
              <w:t>30</w:t>
            </w:r>
          </w:p>
        </w:tc>
      </w:tr>
      <w:tr w:rsidR="00284E17" w:rsidRPr="00284E17" w:rsidTr="00B13E42">
        <w:tc>
          <w:tcPr>
            <w:tcW w:w="1958" w:type="dxa"/>
            <w:vMerge/>
            <w:vAlign w:val="center"/>
          </w:tcPr>
          <w:p w:rsidR="00284E17" w:rsidRPr="00284E17" w:rsidRDefault="00284E17" w:rsidP="00284E17">
            <w:pPr>
              <w:spacing w:after="0" w:line="240" w:lineRule="auto"/>
              <w:jc w:val="center"/>
              <w:rPr>
                <w:bCs/>
                <w:sz w:val="20"/>
                <w:szCs w:val="20"/>
              </w:rPr>
            </w:pPr>
          </w:p>
        </w:tc>
        <w:tc>
          <w:tcPr>
            <w:tcW w:w="733" w:type="dxa"/>
            <w:vAlign w:val="center"/>
          </w:tcPr>
          <w:p w:rsidR="00284E17" w:rsidRPr="00284E17" w:rsidRDefault="00284E17" w:rsidP="00284E17">
            <w:pPr>
              <w:spacing w:after="0" w:line="240" w:lineRule="auto"/>
              <w:jc w:val="center"/>
              <w:rPr>
                <w:bCs/>
                <w:sz w:val="20"/>
                <w:szCs w:val="20"/>
              </w:rPr>
            </w:pPr>
          </w:p>
        </w:tc>
        <w:tc>
          <w:tcPr>
            <w:tcW w:w="4854" w:type="dxa"/>
          </w:tcPr>
          <w:p w:rsidR="00284E17" w:rsidRPr="00284E17" w:rsidRDefault="00284E17" w:rsidP="00284E17">
            <w:pPr>
              <w:spacing w:after="0" w:line="240" w:lineRule="auto"/>
              <w:jc w:val="both"/>
              <w:rPr>
                <w:sz w:val="20"/>
                <w:szCs w:val="20"/>
              </w:rPr>
            </w:pPr>
            <w:r w:rsidRPr="00284E17">
              <w:rPr>
                <w:sz w:val="20"/>
                <w:szCs w:val="20"/>
              </w:rPr>
              <w:t>Preces modelis:</w:t>
            </w:r>
          </w:p>
        </w:tc>
        <w:tc>
          <w:tcPr>
            <w:tcW w:w="1516" w:type="dxa"/>
            <w:vMerge/>
            <w:vAlign w:val="center"/>
          </w:tcPr>
          <w:p w:rsidR="00284E17" w:rsidRPr="00284E17" w:rsidRDefault="00284E17" w:rsidP="00284E17">
            <w:pPr>
              <w:spacing w:after="0" w:line="240" w:lineRule="auto"/>
              <w:jc w:val="center"/>
              <w:rPr>
                <w:bCs/>
                <w:sz w:val="20"/>
                <w:szCs w:val="20"/>
              </w:rPr>
            </w:pPr>
          </w:p>
        </w:tc>
      </w:tr>
      <w:tr w:rsidR="00284E17" w:rsidRPr="00284E17" w:rsidTr="00B13E42">
        <w:tc>
          <w:tcPr>
            <w:tcW w:w="1958" w:type="dxa"/>
            <w:vMerge/>
            <w:vAlign w:val="center"/>
          </w:tcPr>
          <w:p w:rsidR="00284E17" w:rsidRPr="00284E17" w:rsidRDefault="00284E17" w:rsidP="00284E17">
            <w:pPr>
              <w:spacing w:after="0" w:line="240" w:lineRule="auto"/>
              <w:jc w:val="center"/>
              <w:rPr>
                <w:bCs/>
                <w:sz w:val="20"/>
                <w:szCs w:val="20"/>
              </w:rPr>
            </w:pPr>
          </w:p>
        </w:tc>
        <w:tc>
          <w:tcPr>
            <w:tcW w:w="733" w:type="dxa"/>
            <w:shd w:val="clear" w:color="auto" w:fill="D9D9D9" w:themeFill="background1" w:themeFillShade="D9"/>
            <w:vAlign w:val="center"/>
          </w:tcPr>
          <w:p w:rsidR="00284E17" w:rsidRPr="00284E17" w:rsidRDefault="00284E17" w:rsidP="00284E17">
            <w:pPr>
              <w:spacing w:after="0" w:line="240" w:lineRule="auto"/>
              <w:jc w:val="center"/>
              <w:rPr>
                <w:sz w:val="20"/>
                <w:szCs w:val="20"/>
              </w:rPr>
            </w:pPr>
            <w:r w:rsidRPr="00284E17">
              <w:rPr>
                <w:sz w:val="20"/>
                <w:szCs w:val="20"/>
              </w:rPr>
              <w:t>2.</w:t>
            </w:r>
          </w:p>
        </w:tc>
        <w:tc>
          <w:tcPr>
            <w:tcW w:w="4854" w:type="dxa"/>
            <w:shd w:val="clear" w:color="auto" w:fill="D9D9D9" w:themeFill="background1" w:themeFillShade="D9"/>
          </w:tcPr>
          <w:p w:rsidR="00284E17" w:rsidRPr="00284E17" w:rsidRDefault="00284E17" w:rsidP="00284E17">
            <w:pPr>
              <w:spacing w:after="0" w:line="240" w:lineRule="auto"/>
              <w:jc w:val="both"/>
              <w:rPr>
                <w:b/>
                <w:i/>
                <w:sz w:val="20"/>
                <w:szCs w:val="20"/>
              </w:rPr>
            </w:pPr>
            <w:r w:rsidRPr="00284E17">
              <w:rPr>
                <w:b/>
                <w:i/>
                <w:sz w:val="20"/>
                <w:szCs w:val="20"/>
              </w:rPr>
              <w:t>Tehniskās prasības:</w:t>
            </w:r>
          </w:p>
        </w:tc>
        <w:tc>
          <w:tcPr>
            <w:tcW w:w="1516" w:type="dxa"/>
            <w:vMerge/>
            <w:vAlign w:val="center"/>
          </w:tcPr>
          <w:p w:rsidR="00284E17" w:rsidRPr="00284E17" w:rsidRDefault="00284E17" w:rsidP="00284E17">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2.1.</w:t>
            </w:r>
          </w:p>
        </w:tc>
        <w:tc>
          <w:tcPr>
            <w:tcW w:w="4854" w:type="dxa"/>
            <w:vAlign w:val="center"/>
          </w:tcPr>
          <w:p w:rsidR="00292511" w:rsidRPr="00315E68" w:rsidRDefault="00292511" w:rsidP="00292511">
            <w:pPr>
              <w:spacing w:after="0" w:line="240" w:lineRule="auto"/>
              <w:jc w:val="both"/>
              <w:rPr>
                <w:sz w:val="20"/>
                <w:szCs w:val="20"/>
                <w:lang w:eastAsia="lv-LV"/>
              </w:rPr>
            </w:pPr>
            <w:r w:rsidRPr="00315E68">
              <w:rPr>
                <w:sz w:val="20"/>
                <w:szCs w:val="20"/>
                <w:lang w:eastAsia="lv-LV"/>
              </w:rPr>
              <w:t>Vadītājssistēma - OTW</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2.2.</w:t>
            </w:r>
          </w:p>
        </w:tc>
        <w:tc>
          <w:tcPr>
            <w:tcW w:w="4854" w:type="dxa"/>
            <w:vAlign w:val="center"/>
          </w:tcPr>
          <w:p w:rsidR="00292511" w:rsidRPr="00315E68" w:rsidRDefault="00292511" w:rsidP="00292511">
            <w:pPr>
              <w:spacing w:after="0" w:line="240" w:lineRule="auto"/>
              <w:jc w:val="both"/>
              <w:rPr>
                <w:sz w:val="20"/>
                <w:szCs w:val="20"/>
                <w:lang w:eastAsia="lv-LV"/>
              </w:rPr>
            </w:pPr>
            <w:r>
              <w:rPr>
                <w:sz w:val="20"/>
                <w:szCs w:val="20"/>
                <w:lang w:eastAsia="lv-LV"/>
              </w:rPr>
              <w:t>Savietojama ar 6F un 7F ievadslūžu</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2.3.</w:t>
            </w:r>
          </w:p>
        </w:tc>
        <w:tc>
          <w:tcPr>
            <w:tcW w:w="4854" w:type="dxa"/>
            <w:vAlign w:val="center"/>
          </w:tcPr>
          <w:p w:rsidR="00292511" w:rsidRPr="00315E68" w:rsidRDefault="00292511" w:rsidP="00292511">
            <w:pPr>
              <w:spacing w:after="0" w:line="240" w:lineRule="auto"/>
              <w:jc w:val="both"/>
              <w:rPr>
                <w:sz w:val="20"/>
                <w:szCs w:val="20"/>
                <w:lang w:eastAsia="lv-LV"/>
              </w:rPr>
            </w:pPr>
            <w:r>
              <w:rPr>
                <w:sz w:val="20"/>
                <w:szCs w:val="20"/>
                <w:lang w:eastAsia="lv-LV"/>
              </w:rPr>
              <w:t>Saderīga ar Ø 0.035ʺ vadītājstīgu</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2.4.</w:t>
            </w:r>
          </w:p>
        </w:tc>
        <w:tc>
          <w:tcPr>
            <w:tcW w:w="4854" w:type="dxa"/>
            <w:vAlign w:val="center"/>
          </w:tcPr>
          <w:p w:rsidR="00292511" w:rsidRPr="00315E68" w:rsidRDefault="00292511" w:rsidP="00292511">
            <w:pPr>
              <w:spacing w:after="0" w:line="240" w:lineRule="auto"/>
              <w:jc w:val="both"/>
              <w:rPr>
                <w:sz w:val="20"/>
                <w:szCs w:val="20"/>
                <w:lang w:eastAsia="lv-LV"/>
              </w:rPr>
            </w:pPr>
            <w:r>
              <w:rPr>
                <w:sz w:val="20"/>
                <w:szCs w:val="20"/>
                <w:lang w:eastAsia="lv-LV"/>
              </w:rPr>
              <w:t>Labākai vizualizācijai Rtg marķieri</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2.5.</w:t>
            </w:r>
          </w:p>
        </w:tc>
        <w:tc>
          <w:tcPr>
            <w:tcW w:w="4854" w:type="dxa"/>
            <w:vAlign w:val="center"/>
          </w:tcPr>
          <w:p w:rsidR="00292511" w:rsidRPr="00315E68" w:rsidRDefault="00292511" w:rsidP="00292511">
            <w:pPr>
              <w:spacing w:after="0" w:line="240" w:lineRule="auto"/>
              <w:jc w:val="both"/>
              <w:rPr>
                <w:sz w:val="20"/>
                <w:szCs w:val="20"/>
                <w:lang w:eastAsia="lv-LV"/>
              </w:rPr>
            </w:pPr>
            <w:r>
              <w:rPr>
                <w:sz w:val="20"/>
                <w:szCs w:val="20"/>
                <w:lang w:eastAsia="lv-LV"/>
              </w:rPr>
              <w:t>Katetra darba garums 75cm un 120cm</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2.6.</w:t>
            </w:r>
          </w:p>
        </w:tc>
        <w:tc>
          <w:tcPr>
            <w:tcW w:w="4854" w:type="dxa"/>
            <w:vAlign w:val="center"/>
          </w:tcPr>
          <w:p w:rsidR="00292511" w:rsidRPr="00315E68" w:rsidRDefault="00292511" w:rsidP="00292511">
            <w:pPr>
              <w:spacing w:after="0" w:line="240" w:lineRule="auto"/>
              <w:jc w:val="both"/>
              <w:rPr>
                <w:sz w:val="20"/>
                <w:szCs w:val="20"/>
                <w:lang w:eastAsia="lv-LV"/>
              </w:rPr>
            </w:pPr>
            <w:r>
              <w:rPr>
                <w:sz w:val="20"/>
                <w:szCs w:val="20"/>
                <w:lang w:eastAsia="lv-LV"/>
              </w:rPr>
              <w:t>Stenta – protēzes diametri robežās no 5mm – 9mm</w:t>
            </w:r>
          </w:p>
        </w:tc>
        <w:tc>
          <w:tcPr>
            <w:tcW w:w="1516" w:type="dxa"/>
            <w:vMerge/>
            <w:vAlign w:val="center"/>
          </w:tcPr>
          <w:p w:rsidR="00292511" w:rsidRPr="00284E17" w:rsidRDefault="00292511" w:rsidP="00292511">
            <w:pPr>
              <w:spacing w:after="0" w:line="240" w:lineRule="auto"/>
              <w:jc w:val="center"/>
              <w:rPr>
                <w:bCs/>
                <w:sz w:val="20"/>
                <w:szCs w:val="20"/>
              </w:rPr>
            </w:pPr>
          </w:p>
        </w:tc>
      </w:tr>
      <w:tr w:rsidR="00292511" w:rsidRPr="00284E17" w:rsidTr="00B13E42">
        <w:tc>
          <w:tcPr>
            <w:tcW w:w="1958" w:type="dxa"/>
            <w:vMerge/>
            <w:vAlign w:val="center"/>
          </w:tcPr>
          <w:p w:rsidR="00292511" w:rsidRPr="00284E17" w:rsidRDefault="00292511" w:rsidP="00292511">
            <w:pPr>
              <w:spacing w:after="0" w:line="240" w:lineRule="auto"/>
              <w:jc w:val="center"/>
              <w:rPr>
                <w:bCs/>
                <w:sz w:val="20"/>
                <w:szCs w:val="20"/>
              </w:rPr>
            </w:pPr>
          </w:p>
        </w:tc>
        <w:tc>
          <w:tcPr>
            <w:tcW w:w="733" w:type="dxa"/>
            <w:vAlign w:val="center"/>
          </w:tcPr>
          <w:p w:rsidR="00292511" w:rsidRPr="00284E17" w:rsidRDefault="00292511" w:rsidP="00292511">
            <w:pPr>
              <w:spacing w:after="0" w:line="240" w:lineRule="auto"/>
              <w:jc w:val="center"/>
              <w:rPr>
                <w:sz w:val="20"/>
                <w:szCs w:val="20"/>
              </w:rPr>
            </w:pPr>
            <w:r w:rsidRPr="00284E17">
              <w:rPr>
                <w:sz w:val="20"/>
                <w:szCs w:val="20"/>
              </w:rPr>
              <w:t>2.7.</w:t>
            </w:r>
          </w:p>
        </w:tc>
        <w:tc>
          <w:tcPr>
            <w:tcW w:w="4854" w:type="dxa"/>
            <w:vAlign w:val="center"/>
          </w:tcPr>
          <w:p w:rsidR="00292511" w:rsidRPr="00315E68" w:rsidRDefault="00292511" w:rsidP="00292511">
            <w:pPr>
              <w:spacing w:after="0" w:line="240" w:lineRule="auto"/>
              <w:jc w:val="both"/>
              <w:rPr>
                <w:sz w:val="20"/>
                <w:szCs w:val="20"/>
                <w:lang w:eastAsia="lv-LV"/>
              </w:rPr>
            </w:pPr>
            <w:r>
              <w:rPr>
                <w:sz w:val="20"/>
                <w:szCs w:val="20"/>
                <w:lang w:eastAsia="lv-LV"/>
              </w:rPr>
              <w:t>Stenta – protēzes garumi robežās no 18mm – 57mm</w:t>
            </w:r>
          </w:p>
        </w:tc>
        <w:tc>
          <w:tcPr>
            <w:tcW w:w="1516" w:type="dxa"/>
            <w:vMerge/>
            <w:vAlign w:val="center"/>
          </w:tcPr>
          <w:p w:rsidR="00292511" w:rsidRPr="00284E17" w:rsidRDefault="00292511" w:rsidP="00292511">
            <w:pPr>
              <w:spacing w:after="0" w:line="240" w:lineRule="auto"/>
              <w:jc w:val="center"/>
              <w:rPr>
                <w:bCs/>
                <w:sz w:val="20"/>
                <w:szCs w:val="20"/>
              </w:rPr>
            </w:pPr>
          </w:p>
        </w:tc>
      </w:tr>
    </w:tbl>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2016/155</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A444FF" w:rsidRPr="004C2586" w:rsidRDefault="00A444FF" w:rsidP="00A444FF">
      <w:pPr>
        <w:spacing w:after="0" w:line="240" w:lineRule="auto"/>
        <w:jc w:val="center"/>
        <w:rPr>
          <w:rFonts w:ascii="Times New Roman" w:eastAsia="Times New Roman" w:hAnsi="Times New Roman"/>
          <w:b/>
          <w:sz w:val="23"/>
          <w:szCs w:val="23"/>
        </w:rPr>
      </w:pPr>
      <w:r w:rsidRPr="004C2586">
        <w:rPr>
          <w:rFonts w:ascii="Times New Roman" w:eastAsia="Times New Roman" w:hAnsi="Times New Roman"/>
          <w:sz w:val="23"/>
          <w:szCs w:val="23"/>
        </w:rPr>
        <w:t>„</w:t>
      </w:r>
      <w:r>
        <w:rPr>
          <w:rFonts w:ascii="Times New Roman" w:hAnsi="Times New Roman"/>
          <w:sz w:val="23"/>
          <w:szCs w:val="23"/>
        </w:rPr>
        <w:t>Ievadslūžu un perifēro asinsvadu balonizpletošo stent-protēžu piegāde</w:t>
      </w:r>
      <w:r w:rsidRPr="004C2586">
        <w:rPr>
          <w:rFonts w:ascii="Times New Roman" w:eastAsia="Times New Roman" w:hAnsi="Times New Roman"/>
          <w:sz w:val="23"/>
          <w:szCs w:val="23"/>
        </w:rPr>
        <w:t>”</w:t>
      </w:r>
    </w:p>
    <w:p w:rsidR="00A444FF" w:rsidRPr="004C2586" w:rsidRDefault="00A444FF" w:rsidP="00A444FF">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 xml:space="preserve"> (i</w:t>
      </w:r>
      <w:r>
        <w:rPr>
          <w:rFonts w:ascii="Times New Roman" w:eastAsia="Times New Roman" w:hAnsi="Times New Roman"/>
          <w:sz w:val="23"/>
          <w:szCs w:val="23"/>
        </w:rPr>
        <w:t>dentifikācijas Nr. PSKUS 2016/155</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362DCB" w:rsidRPr="008061E9">
        <w:rPr>
          <w:rFonts w:ascii="Times New Roman" w:eastAsia="Times New Roman" w:hAnsi="Times New Roman"/>
          <w:sz w:val="24"/>
          <w:szCs w:val="24"/>
        </w:rPr>
        <w:t xml:space="preserve"> konkursā</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Pr="00A444FF">
        <w:rPr>
          <w:rFonts w:ascii="Times New Roman" w:hAnsi="Times New Roman"/>
          <w:sz w:val="24"/>
          <w:szCs w:val="24"/>
        </w:rPr>
        <w:t>Ievadslūžu un perifēro asinsvadu balonizpletošo stent-protēžu piegāde</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PSKUS 2016/155</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Nolikumam pievienotā līguma projekta noteikumiem un </w:t>
      </w:r>
      <w:r w:rsidR="00310248">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2016/155</w:t>
      </w:r>
      <w:r w:rsidRPr="000D0422">
        <w:rPr>
          <w:rFonts w:ascii="Times New Roman" w:eastAsia="Times New Roman" w:hAnsi="Times New Roman"/>
          <w:sz w:val="23"/>
          <w:szCs w:val="23"/>
        </w:rPr>
        <w:t>)</w:t>
      </w:r>
    </w:p>
    <w:p w:rsidR="00362DCB" w:rsidRPr="00362DCB" w:rsidRDefault="00362DCB" w:rsidP="008061E9">
      <w:pPr>
        <w:spacing w:after="0" w:line="240" w:lineRule="auto"/>
        <w:ind w:left="720"/>
        <w:jc w:val="right"/>
        <w:rPr>
          <w:rFonts w:ascii="Times New Roman" w:eastAsia="Times New Roman" w:hAnsi="Times New Roman"/>
          <w:b/>
          <w:sz w:val="24"/>
          <w:szCs w:val="24"/>
        </w:rPr>
      </w:pPr>
    </w:p>
    <w:p w:rsidR="00D1115E" w:rsidRPr="00D1115E" w:rsidRDefault="00D1115E" w:rsidP="00D1115E">
      <w:pPr>
        <w:spacing w:after="0" w:line="240" w:lineRule="auto"/>
        <w:jc w:val="center"/>
        <w:rPr>
          <w:rFonts w:ascii="Times New Roman" w:hAnsi="Times New Roman"/>
          <w:bCs/>
          <w:i/>
          <w:iCs/>
          <w:sz w:val="24"/>
          <w:szCs w:val="24"/>
        </w:rPr>
      </w:pPr>
      <w:r w:rsidRPr="00D1115E">
        <w:rPr>
          <w:rFonts w:ascii="Times New Roman" w:hAnsi="Times New Roman"/>
          <w:b/>
          <w:sz w:val="24"/>
          <w:szCs w:val="24"/>
        </w:rPr>
        <w:t xml:space="preserve">TEHNISKAIS PIEDĀVĀJUMS </w:t>
      </w:r>
      <w:r w:rsidRPr="00D1115E">
        <w:rPr>
          <w:rFonts w:ascii="Times New Roman" w:hAnsi="Times New Roman"/>
          <w:bCs/>
          <w:i/>
          <w:iCs/>
          <w:sz w:val="24"/>
          <w:szCs w:val="24"/>
        </w:rPr>
        <w:t>(veidne)</w:t>
      </w:r>
    </w:p>
    <w:p w:rsidR="00D1115E" w:rsidRPr="004C2586" w:rsidRDefault="00D1115E" w:rsidP="00D1115E">
      <w:pPr>
        <w:spacing w:after="0" w:line="240" w:lineRule="auto"/>
        <w:jc w:val="center"/>
        <w:rPr>
          <w:rFonts w:ascii="Times New Roman" w:eastAsia="Times New Roman" w:hAnsi="Times New Roman"/>
          <w:b/>
          <w:sz w:val="23"/>
          <w:szCs w:val="23"/>
        </w:rPr>
      </w:pPr>
      <w:r w:rsidRPr="004C2586">
        <w:rPr>
          <w:rFonts w:ascii="Times New Roman" w:eastAsia="Times New Roman" w:hAnsi="Times New Roman"/>
          <w:sz w:val="23"/>
          <w:szCs w:val="23"/>
        </w:rPr>
        <w:t>„</w:t>
      </w:r>
      <w:r>
        <w:rPr>
          <w:rFonts w:ascii="Times New Roman" w:hAnsi="Times New Roman"/>
          <w:sz w:val="23"/>
          <w:szCs w:val="23"/>
        </w:rPr>
        <w:t>Ievadslūžu un perifēro asinsvadu balonizpletošo stent-protēžu piegāde</w:t>
      </w:r>
      <w:r w:rsidRPr="004C2586">
        <w:rPr>
          <w:rFonts w:ascii="Times New Roman" w:eastAsia="Times New Roman" w:hAnsi="Times New Roman"/>
          <w:sz w:val="23"/>
          <w:szCs w:val="23"/>
        </w:rPr>
        <w:t>”</w:t>
      </w:r>
    </w:p>
    <w:p w:rsidR="00D1115E" w:rsidRPr="004C2586" w:rsidRDefault="00D1115E" w:rsidP="00D1115E">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 xml:space="preserve"> (i</w:t>
      </w:r>
      <w:r>
        <w:rPr>
          <w:rFonts w:ascii="Times New Roman" w:eastAsia="Times New Roman" w:hAnsi="Times New Roman"/>
          <w:sz w:val="23"/>
          <w:szCs w:val="23"/>
        </w:rPr>
        <w:t>dentifikācijas Nr. PSKUS 2016/155</w:t>
      </w:r>
      <w:r w:rsidRPr="004C2586">
        <w:rPr>
          <w:rFonts w:ascii="Times New Roman" w:eastAsia="Times New Roman" w:hAnsi="Times New Roman"/>
          <w:sz w:val="23"/>
          <w:szCs w:val="23"/>
        </w:rPr>
        <w:t>)</w:t>
      </w:r>
    </w:p>
    <w:p w:rsidR="00D1115E" w:rsidRPr="00D1115E" w:rsidRDefault="00D1115E" w:rsidP="00D1115E">
      <w:pPr>
        <w:keepNext/>
        <w:spacing w:after="0" w:line="240" w:lineRule="auto"/>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
        <w:gridCol w:w="2594"/>
        <w:gridCol w:w="2588"/>
        <w:gridCol w:w="1525"/>
      </w:tblGrid>
      <w:tr w:rsidR="00D1115E" w:rsidRPr="00D1115E" w:rsidTr="00B13E42">
        <w:tc>
          <w:tcPr>
            <w:tcW w:w="1550" w:type="dxa"/>
            <w:shd w:val="clear" w:color="auto" w:fill="auto"/>
            <w:vAlign w:val="center"/>
          </w:tcPr>
          <w:p w:rsidR="00D1115E" w:rsidRPr="00D1115E" w:rsidRDefault="00D1115E" w:rsidP="00D1115E">
            <w:pPr>
              <w:suppressAutoHyphens/>
              <w:autoSpaceDN w:val="0"/>
              <w:spacing w:after="0" w:line="240" w:lineRule="auto"/>
              <w:contextualSpacing/>
              <w:jc w:val="center"/>
              <w:textAlignment w:val="baseline"/>
              <w:rPr>
                <w:rFonts w:ascii="Times New Roman" w:hAnsi="Times New Roman"/>
                <w:sz w:val="20"/>
                <w:szCs w:val="20"/>
                <w:lang w:eastAsia="lv-LV"/>
              </w:rPr>
            </w:pPr>
            <w:r w:rsidRPr="00D1115E">
              <w:rPr>
                <w:rFonts w:ascii="Times New Roman" w:hAnsi="Times New Roman"/>
                <w:sz w:val="20"/>
                <w:szCs w:val="20"/>
                <w:lang w:eastAsia="lv-LV"/>
              </w:rPr>
              <w:t>Nosaukums</w:t>
            </w:r>
          </w:p>
        </w:tc>
        <w:tc>
          <w:tcPr>
            <w:tcW w:w="804" w:type="dxa"/>
            <w:vAlign w:val="center"/>
          </w:tcPr>
          <w:p w:rsidR="00D1115E" w:rsidRPr="00D1115E" w:rsidRDefault="00D1115E" w:rsidP="00D1115E">
            <w:pPr>
              <w:suppressAutoHyphens/>
              <w:autoSpaceDN w:val="0"/>
              <w:spacing w:after="0" w:line="240" w:lineRule="auto"/>
              <w:contextualSpacing/>
              <w:jc w:val="center"/>
              <w:textAlignment w:val="baseline"/>
              <w:rPr>
                <w:rFonts w:ascii="Times New Roman" w:hAnsi="Times New Roman"/>
                <w:sz w:val="20"/>
                <w:szCs w:val="20"/>
                <w:lang w:eastAsia="lv-LV"/>
              </w:rPr>
            </w:pPr>
            <w:r w:rsidRPr="00D1115E">
              <w:rPr>
                <w:rFonts w:ascii="Times New Roman" w:hAnsi="Times New Roman"/>
                <w:sz w:val="20"/>
                <w:szCs w:val="20"/>
                <w:lang w:eastAsia="lv-LV"/>
              </w:rPr>
              <w:t>N.p.k.</w:t>
            </w:r>
          </w:p>
        </w:tc>
        <w:tc>
          <w:tcPr>
            <w:tcW w:w="2594" w:type="dxa"/>
            <w:shd w:val="clear" w:color="auto" w:fill="auto"/>
            <w:vAlign w:val="center"/>
          </w:tcPr>
          <w:p w:rsidR="00D1115E" w:rsidRPr="00D1115E" w:rsidRDefault="00D1115E" w:rsidP="00D1115E">
            <w:pPr>
              <w:suppressAutoHyphens/>
              <w:autoSpaceDN w:val="0"/>
              <w:spacing w:after="0" w:line="240" w:lineRule="auto"/>
              <w:contextualSpacing/>
              <w:jc w:val="center"/>
              <w:textAlignment w:val="baseline"/>
              <w:rPr>
                <w:rFonts w:ascii="Times New Roman" w:hAnsi="Times New Roman"/>
                <w:sz w:val="20"/>
                <w:szCs w:val="20"/>
                <w:lang w:eastAsia="lv-LV"/>
              </w:rPr>
            </w:pPr>
            <w:r w:rsidRPr="00D1115E">
              <w:rPr>
                <w:rFonts w:ascii="Times New Roman" w:hAnsi="Times New Roman"/>
                <w:sz w:val="20"/>
                <w:szCs w:val="20"/>
                <w:lang w:eastAsia="lv-LV"/>
              </w:rPr>
              <w:t>Tehniskā specifikācija (minimālās prasības)</w:t>
            </w:r>
          </w:p>
        </w:tc>
        <w:tc>
          <w:tcPr>
            <w:tcW w:w="2588" w:type="dxa"/>
            <w:shd w:val="clear" w:color="auto" w:fill="auto"/>
            <w:vAlign w:val="center"/>
          </w:tcPr>
          <w:p w:rsidR="00D1115E" w:rsidRPr="00D1115E" w:rsidRDefault="00D1115E" w:rsidP="00D1115E">
            <w:pPr>
              <w:spacing w:after="0" w:line="240" w:lineRule="auto"/>
              <w:jc w:val="center"/>
              <w:rPr>
                <w:rFonts w:ascii="Times New Roman" w:eastAsia="Times New Roman" w:hAnsi="Times New Roman"/>
                <w:bCs/>
                <w:sz w:val="20"/>
                <w:szCs w:val="20"/>
                <w:lang w:eastAsia="lv-LV"/>
              </w:rPr>
            </w:pPr>
            <w:r w:rsidRPr="00D1115E">
              <w:rPr>
                <w:rFonts w:ascii="Times New Roman" w:eastAsia="Times New Roman" w:hAnsi="Times New Roman"/>
                <w:bCs/>
                <w:sz w:val="20"/>
                <w:szCs w:val="20"/>
                <w:lang w:eastAsia="lv-LV"/>
              </w:rPr>
              <w:t>Pretendenta tehniskais piedāvājums</w:t>
            </w:r>
          </w:p>
        </w:tc>
        <w:tc>
          <w:tcPr>
            <w:tcW w:w="1525" w:type="dxa"/>
            <w:shd w:val="clear" w:color="auto" w:fill="auto"/>
            <w:vAlign w:val="center"/>
          </w:tcPr>
          <w:p w:rsidR="00D1115E" w:rsidRPr="00D1115E" w:rsidRDefault="00D1115E" w:rsidP="00D1115E">
            <w:pPr>
              <w:spacing w:after="0" w:line="240" w:lineRule="auto"/>
              <w:jc w:val="center"/>
              <w:rPr>
                <w:rFonts w:ascii="Times New Roman" w:eastAsia="Times New Roman" w:hAnsi="Times New Roman"/>
                <w:bCs/>
                <w:sz w:val="20"/>
                <w:szCs w:val="20"/>
                <w:lang w:eastAsia="lv-LV"/>
              </w:rPr>
            </w:pPr>
            <w:r w:rsidRPr="00D1115E">
              <w:rPr>
                <w:rFonts w:ascii="Times New Roman" w:eastAsia="Times New Roman" w:hAnsi="Times New Roman"/>
                <w:bCs/>
                <w:sz w:val="20"/>
                <w:szCs w:val="20"/>
                <w:lang w:eastAsia="lv-LV"/>
              </w:rPr>
              <w:t>Norāde uz datu lapas lpp., kur var atrast atbilstību tehniskās specifikācijas prasībai*</w:t>
            </w:r>
          </w:p>
        </w:tc>
      </w:tr>
      <w:tr w:rsidR="00EA2477" w:rsidRPr="00D1115E" w:rsidTr="0024692D">
        <w:tc>
          <w:tcPr>
            <w:tcW w:w="1550" w:type="dxa"/>
            <w:vMerge w:val="restart"/>
            <w:vAlign w:val="center"/>
          </w:tcPr>
          <w:p w:rsidR="00EA2477" w:rsidRPr="00284E17" w:rsidRDefault="00EA2477" w:rsidP="00EA2477">
            <w:pPr>
              <w:spacing w:after="0" w:line="240" w:lineRule="auto"/>
              <w:jc w:val="center"/>
              <w:rPr>
                <w:rFonts w:ascii="Times New Roman" w:eastAsia="Times New Roman" w:hAnsi="Times New Roman"/>
                <w:bCs/>
                <w:sz w:val="20"/>
                <w:szCs w:val="20"/>
              </w:rPr>
            </w:pPr>
            <w:r w:rsidRPr="00C2344C">
              <w:rPr>
                <w:rFonts w:ascii="Times New Roman" w:hAnsi="Times New Roman"/>
                <w:b/>
                <w:sz w:val="20"/>
                <w:szCs w:val="20"/>
              </w:rPr>
              <w:t>Ievadslūžas liela diametra ierīču tālākai ievadei</w:t>
            </w: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p>
        </w:tc>
        <w:tc>
          <w:tcPr>
            <w:tcW w:w="2594" w:type="dxa"/>
          </w:tcPr>
          <w:p w:rsidR="00EA2477" w:rsidRPr="00D1115E" w:rsidRDefault="00EA2477" w:rsidP="00EA2477">
            <w:pPr>
              <w:spacing w:after="0" w:line="240" w:lineRule="auto"/>
              <w:jc w:val="both"/>
              <w:rPr>
                <w:rFonts w:ascii="Times New Roman" w:hAnsi="Times New Roman"/>
                <w:sz w:val="20"/>
                <w:szCs w:val="20"/>
              </w:rPr>
            </w:pPr>
            <w:r w:rsidRPr="00D1115E">
              <w:rPr>
                <w:rFonts w:ascii="Times New Roman" w:hAnsi="Times New Roman"/>
                <w:sz w:val="20"/>
                <w:szCs w:val="20"/>
              </w:rPr>
              <w:t>Preces ražotājs:</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24692D">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p>
        </w:tc>
        <w:tc>
          <w:tcPr>
            <w:tcW w:w="2594" w:type="dxa"/>
          </w:tcPr>
          <w:p w:rsidR="00EA2477" w:rsidRPr="00D1115E" w:rsidRDefault="00EA2477" w:rsidP="00EA2477">
            <w:pPr>
              <w:spacing w:after="0" w:line="240" w:lineRule="auto"/>
              <w:jc w:val="both"/>
              <w:rPr>
                <w:rFonts w:ascii="Times New Roman" w:hAnsi="Times New Roman"/>
                <w:sz w:val="20"/>
                <w:szCs w:val="20"/>
              </w:rPr>
            </w:pPr>
            <w:r w:rsidRPr="00D1115E">
              <w:rPr>
                <w:rFonts w:ascii="Times New Roman" w:hAnsi="Times New Roman"/>
                <w:sz w:val="20"/>
                <w:szCs w:val="20"/>
              </w:rPr>
              <w:t>Preces modelis:</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24692D">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shd w:val="clear" w:color="auto" w:fill="D9D9D9" w:themeFill="background1" w:themeFillShade="D9"/>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w:t>
            </w:r>
          </w:p>
        </w:tc>
        <w:tc>
          <w:tcPr>
            <w:tcW w:w="2594" w:type="dxa"/>
            <w:shd w:val="clear" w:color="auto" w:fill="D9D9D9" w:themeFill="background1" w:themeFillShade="D9"/>
          </w:tcPr>
          <w:p w:rsidR="00EA2477" w:rsidRPr="00D1115E" w:rsidRDefault="00EA2477" w:rsidP="00EA2477">
            <w:pPr>
              <w:spacing w:after="0" w:line="240" w:lineRule="auto"/>
              <w:jc w:val="both"/>
              <w:rPr>
                <w:rFonts w:ascii="Times New Roman" w:hAnsi="Times New Roman"/>
                <w:b/>
                <w:i/>
                <w:sz w:val="20"/>
                <w:szCs w:val="20"/>
              </w:rPr>
            </w:pPr>
            <w:r w:rsidRPr="00D1115E">
              <w:rPr>
                <w:rFonts w:ascii="Times New Roman" w:hAnsi="Times New Roman"/>
                <w:b/>
                <w:i/>
                <w:sz w:val="20"/>
                <w:szCs w:val="20"/>
              </w:rPr>
              <w:t>Tehniskās prasības:</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1.1.</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Ievadslūžu izmērs robežās: no 16F – 18F</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1.2.</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Ievadslūžu garums robežās: no 20cm – 35 cm</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1.3.</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Ievadslūžas ar hemostatisku vārstu</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1.4.</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Saderīgas ar vadītājstīgu max. Ø 0.038ʺ</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1.5.</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Uz dilatatora norādes par saderību ar vadītājstīgu un ievadslūžām</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1.6.</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Ārējā ievadslūžu virsma ar hidrofīlu pārklājumu</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1.7.</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Uz ievadslūžām jābūt cm gradācijas atzīmes</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80345C">
        <w:tc>
          <w:tcPr>
            <w:tcW w:w="1550" w:type="dxa"/>
            <w:vMerge/>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1.8.</w:t>
            </w:r>
          </w:p>
        </w:tc>
        <w:tc>
          <w:tcPr>
            <w:tcW w:w="2594" w:type="dxa"/>
          </w:tcPr>
          <w:p w:rsidR="00EA2477" w:rsidRDefault="00EA2477" w:rsidP="00EA2477">
            <w:pPr>
              <w:spacing w:after="0" w:line="240" w:lineRule="auto"/>
              <w:jc w:val="both"/>
              <w:rPr>
                <w:rFonts w:ascii="Times New Roman" w:hAnsi="Times New Roman"/>
                <w:sz w:val="20"/>
                <w:szCs w:val="20"/>
              </w:rPr>
            </w:pPr>
            <w:r>
              <w:rPr>
                <w:rFonts w:ascii="Times New Roman" w:hAnsi="Times New Roman"/>
                <w:sz w:val="20"/>
                <w:szCs w:val="20"/>
              </w:rPr>
              <w:t>Atraumatisks ievadslūžu distālais gals ar marķētu joslu</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24692D">
        <w:tc>
          <w:tcPr>
            <w:tcW w:w="1550" w:type="dxa"/>
            <w:vMerge w:val="restart"/>
            <w:vAlign w:val="center"/>
          </w:tcPr>
          <w:p w:rsidR="00EA2477" w:rsidRDefault="00EA2477" w:rsidP="00EA2477">
            <w:pPr>
              <w:spacing w:after="0" w:line="240" w:lineRule="auto"/>
              <w:jc w:val="center"/>
              <w:rPr>
                <w:b/>
                <w:sz w:val="20"/>
                <w:szCs w:val="20"/>
              </w:rPr>
            </w:pPr>
            <w:r>
              <w:rPr>
                <w:rFonts w:ascii="Times New Roman" w:hAnsi="Times New Roman"/>
                <w:b/>
                <w:sz w:val="20"/>
                <w:szCs w:val="20"/>
              </w:rPr>
              <w:t xml:space="preserve">Perifēro asinsvadu balonizpletoša </w:t>
            </w:r>
          </w:p>
          <w:p w:rsidR="00EA2477" w:rsidRPr="00284E17" w:rsidRDefault="00EA2477" w:rsidP="00EA2477">
            <w:pPr>
              <w:spacing w:after="0" w:line="240" w:lineRule="auto"/>
              <w:jc w:val="center"/>
              <w:rPr>
                <w:rFonts w:ascii="Times New Roman" w:eastAsia="Times New Roman" w:hAnsi="Times New Roman"/>
                <w:bCs/>
                <w:sz w:val="20"/>
                <w:szCs w:val="20"/>
              </w:rPr>
            </w:pPr>
            <w:r>
              <w:rPr>
                <w:rFonts w:ascii="Times New Roman" w:hAnsi="Times New Roman"/>
                <w:b/>
                <w:sz w:val="20"/>
                <w:szCs w:val="20"/>
              </w:rPr>
              <w:t>stent - protēze</w:t>
            </w:r>
          </w:p>
        </w:tc>
        <w:tc>
          <w:tcPr>
            <w:tcW w:w="804" w:type="dxa"/>
            <w:vAlign w:val="center"/>
          </w:tcPr>
          <w:p w:rsidR="00EA2477" w:rsidRPr="00D1115E" w:rsidRDefault="00EA2477" w:rsidP="00EA2477">
            <w:pPr>
              <w:spacing w:after="0" w:line="240" w:lineRule="auto"/>
              <w:jc w:val="center"/>
              <w:rPr>
                <w:rFonts w:ascii="Times New Roman" w:hAnsi="Times New Roman"/>
                <w:bCs/>
                <w:sz w:val="20"/>
                <w:szCs w:val="20"/>
              </w:rPr>
            </w:pPr>
          </w:p>
        </w:tc>
        <w:tc>
          <w:tcPr>
            <w:tcW w:w="2594" w:type="dxa"/>
          </w:tcPr>
          <w:p w:rsidR="00EA2477" w:rsidRPr="00D1115E" w:rsidRDefault="00EA2477" w:rsidP="00EA2477">
            <w:pPr>
              <w:spacing w:after="0" w:line="240" w:lineRule="auto"/>
              <w:jc w:val="both"/>
              <w:rPr>
                <w:rFonts w:ascii="Times New Roman" w:hAnsi="Times New Roman"/>
                <w:sz w:val="20"/>
                <w:szCs w:val="20"/>
              </w:rPr>
            </w:pPr>
            <w:r w:rsidRPr="00D1115E">
              <w:rPr>
                <w:rFonts w:ascii="Times New Roman" w:hAnsi="Times New Roman"/>
                <w:sz w:val="20"/>
                <w:szCs w:val="20"/>
              </w:rPr>
              <w:t>Preces ražotājs:</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D1115E" w:rsidRPr="00D1115E" w:rsidTr="00B13E42">
        <w:tc>
          <w:tcPr>
            <w:tcW w:w="1550" w:type="dxa"/>
            <w:vMerge/>
            <w:shd w:val="clear" w:color="auto" w:fill="auto"/>
            <w:vAlign w:val="center"/>
          </w:tcPr>
          <w:p w:rsidR="00D1115E" w:rsidRPr="00D1115E" w:rsidRDefault="00D1115E" w:rsidP="00D1115E">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D1115E" w:rsidRPr="00D1115E" w:rsidRDefault="00D1115E" w:rsidP="00D1115E">
            <w:pPr>
              <w:spacing w:after="0" w:line="240" w:lineRule="auto"/>
              <w:jc w:val="center"/>
              <w:rPr>
                <w:rFonts w:ascii="Times New Roman" w:hAnsi="Times New Roman"/>
                <w:bCs/>
                <w:sz w:val="20"/>
                <w:szCs w:val="20"/>
              </w:rPr>
            </w:pPr>
          </w:p>
        </w:tc>
        <w:tc>
          <w:tcPr>
            <w:tcW w:w="2594" w:type="dxa"/>
          </w:tcPr>
          <w:p w:rsidR="00D1115E" w:rsidRPr="00D1115E" w:rsidRDefault="00D1115E" w:rsidP="00D1115E">
            <w:pPr>
              <w:spacing w:after="0" w:line="240" w:lineRule="auto"/>
              <w:jc w:val="both"/>
              <w:rPr>
                <w:rFonts w:ascii="Times New Roman" w:hAnsi="Times New Roman"/>
                <w:sz w:val="20"/>
                <w:szCs w:val="20"/>
              </w:rPr>
            </w:pPr>
            <w:r w:rsidRPr="00D1115E">
              <w:rPr>
                <w:rFonts w:ascii="Times New Roman" w:hAnsi="Times New Roman"/>
                <w:sz w:val="20"/>
                <w:szCs w:val="20"/>
              </w:rPr>
              <w:t>Preces modelis:</w:t>
            </w:r>
          </w:p>
        </w:tc>
        <w:tc>
          <w:tcPr>
            <w:tcW w:w="2588" w:type="dxa"/>
            <w:shd w:val="clear" w:color="auto" w:fill="auto"/>
            <w:vAlign w:val="center"/>
          </w:tcPr>
          <w:p w:rsidR="00D1115E" w:rsidRPr="00D1115E" w:rsidRDefault="00D1115E" w:rsidP="00D1115E">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D1115E" w:rsidRPr="00D1115E" w:rsidRDefault="00D1115E" w:rsidP="00D1115E">
            <w:pPr>
              <w:spacing w:after="0" w:line="240" w:lineRule="auto"/>
              <w:jc w:val="center"/>
              <w:rPr>
                <w:rFonts w:ascii="Times New Roman" w:eastAsia="Times New Roman" w:hAnsi="Times New Roman"/>
                <w:bCs/>
                <w:sz w:val="20"/>
                <w:szCs w:val="20"/>
                <w:lang w:eastAsia="lv-LV"/>
              </w:rPr>
            </w:pPr>
          </w:p>
        </w:tc>
      </w:tr>
      <w:tr w:rsidR="00D1115E" w:rsidRPr="00D1115E" w:rsidTr="00B13E42">
        <w:tc>
          <w:tcPr>
            <w:tcW w:w="1550" w:type="dxa"/>
            <w:vMerge/>
            <w:shd w:val="clear" w:color="auto" w:fill="auto"/>
            <w:vAlign w:val="center"/>
          </w:tcPr>
          <w:p w:rsidR="00D1115E" w:rsidRPr="00D1115E" w:rsidRDefault="00D1115E" w:rsidP="00D1115E">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shd w:val="clear" w:color="auto" w:fill="D9D9D9" w:themeFill="background1" w:themeFillShade="D9"/>
            <w:vAlign w:val="center"/>
          </w:tcPr>
          <w:p w:rsidR="00D1115E" w:rsidRPr="00D1115E" w:rsidRDefault="00D1115E" w:rsidP="00D1115E">
            <w:pPr>
              <w:spacing w:after="0" w:line="240" w:lineRule="auto"/>
              <w:jc w:val="center"/>
              <w:rPr>
                <w:rFonts w:ascii="Times New Roman" w:hAnsi="Times New Roman"/>
                <w:sz w:val="20"/>
                <w:szCs w:val="20"/>
              </w:rPr>
            </w:pPr>
            <w:r w:rsidRPr="00D1115E">
              <w:rPr>
                <w:rFonts w:ascii="Times New Roman" w:hAnsi="Times New Roman"/>
                <w:sz w:val="20"/>
                <w:szCs w:val="20"/>
              </w:rPr>
              <w:t>2.</w:t>
            </w:r>
          </w:p>
        </w:tc>
        <w:tc>
          <w:tcPr>
            <w:tcW w:w="2594" w:type="dxa"/>
            <w:shd w:val="clear" w:color="auto" w:fill="D9D9D9" w:themeFill="background1" w:themeFillShade="D9"/>
          </w:tcPr>
          <w:p w:rsidR="00D1115E" w:rsidRPr="00D1115E" w:rsidRDefault="00D1115E" w:rsidP="00D1115E">
            <w:pPr>
              <w:spacing w:after="0" w:line="240" w:lineRule="auto"/>
              <w:jc w:val="both"/>
              <w:rPr>
                <w:rFonts w:ascii="Times New Roman" w:hAnsi="Times New Roman"/>
                <w:b/>
                <w:i/>
                <w:sz w:val="20"/>
                <w:szCs w:val="20"/>
              </w:rPr>
            </w:pPr>
            <w:r w:rsidRPr="00D1115E">
              <w:rPr>
                <w:rFonts w:ascii="Times New Roman" w:hAnsi="Times New Roman"/>
                <w:b/>
                <w:i/>
                <w:sz w:val="20"/>
                <w:szCs w:val="20"/>
              </w:rPr>
              <w:t>Tehniskās prasības:</w:t>
            </w:r>
          </w:p>
        </w:tc>
        <w:tc>
          <w:tcPr>
            <w:tcW w:w="2588" w:type="dxa"/>
            <w:shd w:val="clear" w:color="auto" w:fill="auto"/>
            <w:vAlign w:val="center"/>
          </w:tcPr>
          <w:p w:rsidR="00D1115E" w:rsidRPr="00D1115E" w:rsidRDefault="00D1115E" w:rsidP="00D1115E">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D1115E" w:rsidRPr="00D1115E" w:rsidRDefault="00D1115E" w:rsidP="00D1115E">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2.1.</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sidRPr="00315E68">
              <w:rPr>
                <w:rFonts w:ascii="Times New Roman" w:hAnsi="Times New Roman"/>
                <w:sz w:val="20"/>
                <w:szCs w:val="20"/>
                <w:lang w:eastAsia="lv-LV"/>
              </w:rPr>
              <w:t>Vadītājssistēma - OTW</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2.2.</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Savietojama ar 6F un 7F ievadslūžu</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2.3.</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Saderīga ar Ø 0.035ʺ vadītājstīgu</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2.4.</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Labākai vizualizācijai Rtg marķieri</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2.5.</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Katetra darba garums 75cm un 120cm</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2.6.</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Stenta – protēzes diametri robežās no 5mm – 9mm</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r w:rsidR="00EA2477" w:rsidRPr="00D1115E" w:rsidTr="00B13E42">
        <w:tc>
          <w:tcPr>
            <w:tcW w:w="1550" w:type="dxa"/>
            <w:vMerge/>
            <w:shd w:val="clear" w:color="auto" w:fill="auto"/>
            <w:vAlign w:val="center"/>
          </w:tcPr>
          <w:p w:rsidR="00EA2477" w:rsidRPr="00D1115E" w:rsidRDefault="00EA2477" w:rsidP="00EA247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804" w:type="dxa"/>
            <w:vAlign w:val="center"/>
          </w:tcPr>
          <w:p w:rsidR="00EA2477" w:rsidRPr="00D1115E" w:rsidRDefault="00EA2477" w:rsidP="00EA2477">
            <w:pPr>
              <w:spacing w:after="0" w:line="240" w:lineRule="auto"/>
              <w:jc w:val="center"/>
              <w:rPr>
                <w:rFonts w:ascii="Times New Roman" w:hAnsi="Times New Roman"/>
                <w:sz w:val="20"/>
                <w:szCs w:val="20"/>
              </w:rPr>
            </w:pPr>
            <w:r w:rsidRPr="00D1115E">
              <w:rPr>
                <w:rFonts w:ascii="Times New Roman" w:hAnsi="Times New Roman"/>
                <w:sz w:val="20"/>
                <w:szCs w:val="20"/>
              </w:rPr>
              <w:t>2.7.</w:t>
            </w:r>
          </w:p>
        </w:tc>
        <w:tc>
          <w:tcPr>
            <w:tcW w:w="2594" w:type="dxa"/>
            <w:vAlign w:val="center"/>
          </w:tcPr>
          <w:p w:rsidR="00EA2477" w:rsidRPr="00315E68" w:rsidRDefault="00EA2477" w:rsidP="00EA24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Stenta – protēzes garumi robežās no 18mm – 57mm</w:t>
            </w:r>
          </w:p>
        </w:tc>
        <w:tc>
          <w:tcPr>
            <w:tcW w:w="2588"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c>
          <w:tcPr>
            <w:tcW w:w="1525" w:type="dxa"/>
            <w:shd w:val="clear" w:color="auto" w:fill="auto"/>
            <w:vAlign w:val="center"/>
          </w:tcPr>
          <w:p w:rsidR="00EA2477" w:rsidRPr="00D1115E" w:rsidRDefault="00EA2477" w:rsidP="00EA2477">
            <w:pPr>
              <w:spacing w:after="0" w:line="240" w:lineRule="auto"/>
              <w:jc w:val="center"/>
              <w:rPr>
                <w:rFonts w:ascii="Times New Roman" w:eastAsia="Times New Roman" w:hAnsi="Times New Roman"/>
                <w:bCs/>
                <w:sz w:val="20"/>
                <w:szCs w:val="20"/>
                <w:lang w:eastAsia="lv-LV"/>
              </w:rPr>
            </w:pPr>
          </w:p>
        </w:tc>
      </w:tr>
    </w:tbl>
    <w:p w:rsidR="00351257" w:rsidRDefault="00351257" w:rsidP="008E15C6">
      <w:pPr>
        <w:spacing w:after="0" w:line="240" w:lineRule="auto"/>
        <w:jc w:val="right"/>
        <w:rPr>
          <w:rFonts w:ascii="Times New Roman" w:eastAsia="Times New Roman" w:hAnsi="Times New Roman"/>
          <w:b/>
          <w:sz w:val="23"/>
          <w:szCs w:val="23"/>
        </w:rPr>
      </w:pPr>
    </w:p>
    <w:p w:rsidR="00351257" w:rsidRDefault="00351257" w:rsidP="008E15C6">
      <w:pPr>
        <w:spacing w:after="0" w:line="240" w:lineRule="auto"/>
        <w:jc w:val="right"/>
        <w:rPr>
          <w:rFonts w:ascii="Times New Roman" w:eastAsia="Times New Roman" w:hAnsi="Times New Roman"/>
          <w:b/>
          <w:sz w:val="23"/>
          <w:szCs w:val="23"/>
        </w:rPr>
      </w:pPr>
    </w:p>
    <w:p w:rsidR="00AA486A" w:rsidRPr="008061E9" w:rsidRDefault="00AA486A" w:rsidP="00AA486A">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8061E9">
        <w:rPr>
          <w:rFonts w:ascii="Times New Roman" w:eastAsia="Times New Roman" w:hAnsi="Times New Roman"/>
          <w:bCs/>
          <w:sz w:val="24"/>
          <w:szCs w:val="24"/>
        </w:rPr>
        <w:t>.gada ___._____________</w:t>
      </w:r>
    </w:p>
    <w:p w:rsidR="00AA486A" w:rsidRPr="008061E9" w:rsidRDefault="00AA486A" w:rsidP="00AA486A">
      <w:pPr>
        <w:spacing w:after="0" w:line="240" w:lineRule="auto"/>
        <w:rPr>
          <w:rFonts w:ascii="Times New Roman" w:eastAsia="Times New Roman" w:hAnsi="Times New Roman"/>
          <w:bCs/>
          <w:i/>
          <w:sz w:val="24"/>
          <w:szCs w:val="24"/>
          <w:lang w:eastAsia="lv-LV"/>
        </w:rPr>
      </w:pPr>
    </w:p>
    <w:p w:rsidR="00AA486A" w:rsidRPr="00362DCB" w:rsidRDefault="00AA486A" w:rsidP="00AA486A">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AA486A" w:rsidRPr="00C96709" w:rsidRDefault="00AA486A" w:rsidP="00AA486A">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51257" w:rsidRDefault="00351257" w:rsidP="008E15C6">
      <w:pPr>
        <w:spacing w:after="0" w:line="240" w:lineRule="auto"/>
        <w:jc w:val="right"/>
        <w:rPr>
          <w:rFonts w:ascii="Times New Roman" w:eastAsia="Times New Roman" w:hAnsi="Times New Roman"/>
          <w:b/>
          <w:sz w:val="23"/>
          <w:szCs w:val="23"/>
        </w:rPr>
      </w:pPr>
    </w:p>
    <w:p w:rsidR="00351257" w:rsidRDefault="00351257" w:rsidP="00B54211">
      <w:pPr>
        <w:spacing w:after="0" w:line="240" w:lineRule="auto"/>
        <w:rPr>
          <w:rFonts w:ascii="Times New Roman" w:eastAsia="Times New Roman" w:hAnsi="Times New Roman"/>
          <w:b/>
          <w:sz w:val="23"/>
          <w:szCs w:val="23"/>
        </w:rPr>
      </w:pPr>
    </w:p>
    <w:p w:rsidR="00351257" w:rsidRDefault="00351257" w:rsidP="008E15C6">
      <w:pPr>
        <w:spacing w:after="0" w:line="240" w:lineRule="auto"/>
        <w:jc w:val="right"/>
        <w:rPr>
          <w:rFonts w:ascii="Times New Roman" w:eastAsia="Times New Roman" w:hAnsi="Times New Roman"/>
          <w:b/>
          <w:sz w:val="23"/>
          <w:szCs w:val="23"/>
        </w:rPr>
      </w:pPr>
    </w:p>
    <w:p w:rsidR="00550A5E" w:rsidRPr="000D0422" w:rsidRDefault="00550A5E" w:rsidP="00550A5E">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550A5E" w:rsidRPr="000D0422" w:rsidRDefault="00550A5E" w:rsidP="00550A5E">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2016/155</w:t>
      </w:r>
      <w:r w:rsidRPr="000D0422">
        <w:rPr>
          <w:rFonts w:ascii="Times New Roman" w:eastAsia="Times New Roman" w:hAnsi="Times New Roman"/>
          <w:sz w:val="23"/>
          <w:szCs w:val="23"/>
        </w:rPr>
        <w:t>)</w:t>
      </w:r>
    </w:p>
    <w:p w:rsidR="00420994" w:rsidRPr="00362DCB" w:rsidRDefault="00420994" w:rsidP="00EE1F42">
      <w:pPr>
        <w:spacing w:after="0" w:line="240" w:lineRule="auto"/>
        <w:rPr>
          <w:rFonts w:ascii="Times New Roman" w:eastAsia="Times New Roman" w:hAnsi="Times New Roman"/>
          <w:b/>
          <w:sz w:val="24"/>
          <w:szCs w:val="24"/>
        </w:rPr>
      </w:pPr>
    </w:p>
    <w:p w:rsidR="002724C4" w:rsidRDefault="002724C4" w:rsidP="008061E9">
      <w:pPr>
        <w:spacing w:after="0" w:line="240" w:lineRule="auto"/>
        <w:jc w:val="center"/>
        <w:rPr>
          <w:rFonts w:ascii="Times New Roman" w:eastAsia="Times New Roman" w:hAnsi="Times New Roman"/>
          <w:b/>
          <w:sz w:val="24"/>
          <w:szCs w:val="24"/>
        </w:rPr>
      </w:pPr>
    </w:p>
    <w:p w:rsidR="00362DCB" w:rsidRPr="007B28AB" w:rsidRDefault="00362DCB" w:rsidP="008061E9">
      <w:pPr>
        <w:spacing w:after="0" w:line="240" w:lineRule="auto"/>
        <w:jc w:val="center"/>
        <w:rPr>
          <w:rFonts w:ascii="Times New Roman" w:eastAsia="Times New Roman" w:hAnsi="Times New Roman"/>
          <w:i/>
          <w:sz w:val="24"/>
          <w:szCs w:val="24"/>
        </w:rPr>
      </w:pPr>
      <w:r w:rsidRPr="007B28AB">
        <w:rPr>
          <w:rFonts w:ascii="Times New Roman" w:eastAsia="Times New Roman" w:hAnsi="Times New Roman"/>
          <w:b/>
          <w:sz w:val="24"/>
          <w:szCs w:val="24"/>
        </w:rPr>
        <w:t xml:space="preserve">FINANŠU PIEDĀVĀJUMS </w:t>
      </w:r>
      <w:r w:rsidRPr="007B28AB">
        <w:rPr>
          <w:rFonts w:ascii="Times New Roman" w:eastAsia="Times New Roman" w:hAnsi="Times New Roman"/>
          <w:i/>
          <w:sz w:val="24"/>
          <w:szCs w:val="24"/>
        </w:rPr>
        <w:t>(veidne)</w:t>
      </w:r>
    </w:p>
    <w:p w:rsidR="00316604" w:rsidRPr="004C2586" w:rsidRDefault="00316604" w:rsidP="00316604">
      <w:pPr>
        <w:spacing w:after="0" w:line="240" w:lineRule="auto"/>
        <w:jc w:val="center"/>
        <w:rPr>
          <w:rFonts w:ascii="Times New Roman" w:eastAsia="Times New Roman" w:hAnsi="Times New Roman"/>
          <w:b/>
          <w:sz w:val="23"/>
          <w:szCs w:val="23"/>
        </w:rPr>
      </w:pPr>
      <w:r w:rsidRPr="004C2586">
        <w:rPr>
          <w:rFonts w:ascii="Times New Roman" w:eastAsia="Times New Roman" w:hAnsi="Times New Roman"/>
          <w:sz w:val="23"/>
          <w:szCs w:val="23"/>
        </w:rPr>
        <w:t>„</w:t>
      </w:r>
      <w:r>
        <w:rPr>
          <w:rFonts w:ascii="Times New Roman" w:hAnsi="Times New Roman"/>
          <w:sz w:val="23"/>
          <w:szCs w:val="23"/>
        </w:rPr>
        <w:t>Ievadslūžu un perifēro asinsvadu balonizpletošo stent-protēžu piegāde</w:t>
      </w:r>
      <w:r w:rsidRPr="004C2586">
        <w:rPr>
          <w:rFonts w:ascii="Times New Roman" w:eastAsia="Times New Roman" w:hAnsi="Times New Roman"/>
          <w:sz w:val="23"/>
          <w:szCs w:val="23"/>
        </w:rPr>
        <w:t>”</w:t>
      </w:r>
    </w:p>
    <w:p w:rsidR="00316604" w:rsidRPr="004C2586" w:rsidRDefault="00316604" w:rsidP="00316604">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 xml:space="preserve"> (i</w:t>
      </w:r>
      <w:r>
        <w:rPr>
          <w:rFonts w:ascii="Times New Roman" w:eastAsia="Times New Roman" w:hAnsi="Times New Roman"/>
          <w:sz w:val="23"/>
          <w:szCs w:val="23"/>
        </w:rPr>
        <w:t>dentifikācijas Nr. PSKUS 2016/155</w:t>
      </w:r>
      <w:r w:rsidRPr="004C2586">
        <w:rPr>
          <w:rFonts w:ascii="Times New Roman" w:eastAsia="Times New Roman" w:hAnsi="Times New Roman"/>
          <w:sz w:val="23"/>
          <w:szCs w:val="23"/>
        </w:rPr>
        <w:t>)</w:t>
      </w:r>
    </w:p>
    <w:p w:rsidR="00770D88" w:rsidRDefault="00770D88" w:rsidP="008061E9">
      <w:pPr>
        <w:spacing w:after="0" w:line="240" w:lineRule="auto"/>
        <w:jc w:val="both"/>
        <w:rPr>
          <w:rFonts w:ascii="Times New Roman" w:hAnsi="Times New Roman"/>
          <w:b/>
          <w:sz w:val="24"/>
        </w:rPr>
      </w:pPr>
    </w:p>
    <w:p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b/>
          <w:sz w:val="24"/>
        </w:rPr>
        <w:t>Pretendents, ____________________________</w:t>
      </w:r>
      <w:r w:rsidRPr="007B28AB">
        <w:rPr>
          <w:rFonts w:ascii="Times New Roman" w:hAnsi="Times New Roman"/>
          <w:sz w:val="24"/>
        </w:rPr>
        <w:t>, reģ</w:t>
      </w:r>
      <w:r w:rsidR="007E09A8">
        <w:rPr>
          <w:rFonts w:ascii="Times New Roman" w:hAnsi="Times New Roman"/>
          <w:sz w:val="24"/>
        </w:rPr>
        <w:t xml:space="preserve">. Nr. _______________________, </w:t>
      </w:r>
    </w:p>
    <w:p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sz w:val="24"/>
        </w:rPr>
        <w:t xml:space="preserve">piedāvā </w:t>
      </w:r>
      <w:r w:rsidR="00D63510">
        <w:rPr>
          <w:rFonts w:ascii="Times New Roman" w:hAnsi="Times New Roman"/>
          <w:sz w:val="24"/>
        </w:rPr>
        <w:t xml:space="preserve">piegādāt </w:t>
      </w:r>
      <w:r w:rsidR="00316604">
        <w:rPr>
          <w:rFonts w:ascii="Times New Roman" w:hAnsi="Times New Roman"/>
          <w:sz w:val="24"/>
        </w:rPr>
        <w:t>ievadslūžas un perifēro asinsvadu balonizpletošās stent-protēzes</w:t>
      </w:r>
      <w:r w:rsidR="007E09A8">
        <w:rPr>
          <w:rFonts w:ascii="Times New Roman" w:hAnsi="Times New Roman"/>
          <w:sz w:val="24"/>
        </w:rPr>
        <w:t xml:space="preserve"> saskaņā</w:t>
      </w:r>
      <w:r w:rsidR="009355E7">
        <w:rPr>
          <w:rFonts w:ascii="Times New Roman" w:hAnsi="Times New Roman"/>
          <w:sz w:val="24"/>
        </w:rPr>
        <w:t xml:space="preserve"> ar atklātā konkursa “</w:t>
      </w:r>
      <w:r w:rsidR="00316604" w:rsidRPr="00316604">
        <w:rPr>
          <w:rFonts w:ascii="Times New Roman" w:hAnsi="Times New Roman"/>
          <w:sz w:val="24"/>
          <w:szCs w:val="24"/>
        </w:rPr>
        <w:t>Ievadslūžu un perifēro asinsvadu balonizpletošo stent-protēžu piegāde</w:t>
      </w:r>
      <w:r w:rsidR="007E09A8">
        <w:rPr>
          <w:rFonts w:ascii="Times New Roman" w:hAnsi="Times New Roman"/>
          <w:sz w:val="24"/>
        </w:rPr>
        <w:t>” (</w:t>
      </w:r>
      <w:r w:rsidR="00D55B0D">
        <w:rPr>
          <w:rFonts w:ascii="Times New Roman" w:hAnsi="Times New Roman"/>
          <w:sz w:val="24"/>
        </w:rPr>
        <w:t>i</w:t>
      </w:r>
      <w:r w:rsidR="00316604">
        <w:rPr>
          <w:rFonts w:ascii="Times New Roman" w:hAnsi="Times New Roman"/>
          <w:sz w:val="24"/>
        </w:rPr>
        <w:t>dentifikācijas Nr. PSKUS 2016/155</w:t>
      </w:r>
      <w:r w:rsidR="007E09A8">
        <w:rPr>
          <w:rFonts w:ascii="Times New Roman" w:hAnsi="Times New Roman"/>
          <w:sz w:val="24"/>
        </w:rPr>
        <w:t>) nolikuma noteikumiem par šādu cenu</w:t>
      </w:r>
      <w:r w:rsidRPr="007B28AB">
        <w:rPr>
          <w:rFonts w:ascii="Times New Roman" w:hAnsi="Times New Roman"/>
          <w:sz w:val="24"/>
        </w:rPr>
        <w:t>:</w:t>
      </w:r>
    </w:p>
    <w:p w:rsidR="00362DCB" w:rsidRDefault="00362DCB" w:rsidP="008061E9">
      <w:pPr>
        <w:spacing w:after="0" w:line="240" w:lineRule="auto"/>
        <w:ind w:right="752"/>
        <w:rPr>
          <w:rFonts w:ascii="Times New Roman" w:eastAsia="Times New Roman" w:hAnsi="Times New Roman"/>
          <w:sz w:val="20"/>
          <w:szCs w:val="2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831"/>
        <w:gridCol w:w="975"/>
        <w:gridCol w:w="739"/>
        <w:gridCol w:w="1350"/>
        <w:gridCol w:w="1244"/>
      </w:tblGrid>
      <w:tr w:rsidR="00795F7D" w:rsidRPr="00795F7D" w:rsidTr="00B13E42">
        <w:trPr>
          <w:trHeight w:val="446"/>
        </w:trPr>
        <w:tc>
          <w:tcPr>
            <w:tcW w:w="759"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N.p.k.</w:t>
            </w:r>
          </w:p>
        </w:tc>
        <w:tc>
          <w:tcPr>
            <w:tcW w:w="3831"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Nosaukums</w:t>
            </w:r>
          </w:p>
        </w:tc>
        <w:tc>
          <w:tcPr>
            <w:tcW w:w="975"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Mērv.</w:t>
            </w:r>
          </w:p>
        </w:tc>
        <w:tc>
          <w:tcPr>
            <w:tcW w:w="739"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Skaits</w:t>
            </w:r>
          </w:p>
        </w:tc>
        <w:tc>
          <w:tcPr>
            <w:tcW w:w="1350"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Cena par vienu vienību EUR bez PVN</w:t>
            </w:r>
          </w:p>
        </w:tc>
        <w:tc>
          <w:tcPr>
            <w:tcW w:w="1244" w:type="dxa"/>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Summa kopā EUR bez PVN</w:t>
            </w:r>
          </w:p>
        </w:tc>
      </w:tr>
      <w:tr w:rsidR="00795F7D" w:rsidRPr="00795F7D" w:rsidTr="00B13E42">
        <w:trPr>
          <w:trHeight w:val="222"/>
        </w:trPr>
        <w:tc>
          <w:tcPr>
            <w:tcW w:w="759"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r w:rsidRPr="00795F7D">
              <w:rPr>
                <w:rFonts w:ascii="Times New Roman" w:eastAsia="Times New Roman" w:hAnsi="Times New Roman"/>
                <w:bCs/>
                <w:sz w:val="20"/>
                <w:szCs w:val="20"/>
                <w:lang w:eastAsia="lv-LV"/>
              </w:rPr>
              <w:t>1.</w:t>
            </w:r>
          </w:p>
        </w:tc>
        <w:tc>
          <w:tcPr>
            <w:tcW w:w="3831" w:type="dxa"/>
            <w:shd w:val="clear" w:color="auto" w:fill="auto"/>
          </w:tcPr>
          <w:p w:rsidR="00795F7D" w:rsidRPr="00795F7D" w:rsidRDefault="00795F7D" w:rsidP="00795F7D">
            <w:pPr>
              <w:spacing w:after="0" w:line="240" w:lineRule="auto"/>
              <w:jc w:val="both"/>
              <w:rPr>
                <w:rFonts w:ascii="Times New Roman" w:eastAsia="Times New Roman" w:hAnsi="Times New Roman"/>
                <w:bCs/>
                <w:sz w:val="20"/>
                <w:szCs w:val="20"/>
                <w:lang w:eastAsia="lv-LV"/>
              </w:rPr>
            </w:pPr>
            <w:r w:rsidRPr="00795F7D">
              <w:rPr>
                <w:rFonts w:ascii="Times New Roman" w:hAnsi="Times New Roman"/>
                <w:bCs/>
                <w:sz w:val="20"/>
                <w:szCs w:val="20"/>
              </w:rPr>
              <w:t>Ievadslūžas liela diametra ierīču tālākai ievadei</w:t>
            </w:r>
          </w:p>
        </w:tc>
        <w:tc>
          <w:tcPr>
            <w:tcW w:w="975"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r w:rsidRPr="00795F7D">
              <w:rPr>
                <w:rFonts w:ascii="Times New Roman" w:eastAsia="Times New Roman" w:hAnsi="Times New Roman"/>
                <w:bCs/>
                <w:sz w:val="20"/>
                <w:szCs w:val="20"/>
                <w:lang w:eastAsia="lv-LV"/>
              </w:rPr>
              <w:t>gab.</w:t>
            </w:r>
          </w:p>
        </w:tc>
        <w:tc>
          <w:tcPr>
            <w:tcW w:w="739" w:type="dxa"/>
            <w:shd w:val="clear" w:color="auto" w:fill="auto"/>
            <w:vAlign w:val="center"/>
          </w:tcPr>
          <w:p w:rsidR="00795F7D" w:rsidRPr="00795F7D" w:rsidRDefault="00A0657E" w:rsidP="00795F7D">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80</w:t>
            </w:r>
          </w:p>
        </w:tc>
        <w:tc>
          <w:tcPr>
            <w:tcW w:w="1350"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p>
        </w:tc>
        <w:tc>
          <w:tcPr>
            <w:tcW w:w="1244" w:type="dxa"/>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p>
        </w:tc>
      </w:tr>
      <w:tr w:rsidR="00795F7D" w:rsidRPr="00795F7D" w:rsidTr="00B13E42">
        <w:trPr>
          <w:trHeight w:val="222"/>
        </w:trPr>
        <w:tc>
          <w:tcPr>
            <w:tcW w:w="759"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r w:rsidRPr="00795F7D">
              <w:rPr>
                <w:rFonts w:ascii="Times New Roman" w:eastAsia="Times New Roman" w:hAnsi="Times New Roman"/>
                <w:bCs/>
                <w:sz w:val="20"/>
                <w:szCs w:val="20"/>
                <w:lang w:eastAsia="lv-LV"/>
              </w:rPr>
              <w:t>2.</w:t>
            </w:r>
          </w:p>
        </w:tc>
        <w:tc>
          <w:tcPr>
            <w:tcW w:w="3831" w:type="dxa"/>
            <w:shd w:val="clear" w:color="auto" w:fill="auto"/>
          </w:tcPr>
          <w:p w:rsidR="00795F7D" w:rsidRPr="00795F7D" w:rsidRDefault="00795F7D" w:rsidP="00795F7D">
            <w:pPr>
              <w:spacing w:after="0" w:line="240" w:lineRule="auto"/>
              <w:rPr>
                <w:bCs/>
                <w:sz w:val="20"/>
                <w:szCs w:val="20"/>
              </w:rPr>
            </w:pPr>
            <w:r w:rsidRPr="00795F7D">
              <w:rPr>
                <w:rFonts w:ascii="Times New Roman" w:hAnsi="Times New Roman"/>
                <w:bCs/>
                <w:sz w:val="20"/>
                <w:szCs w:val="20"/>
              </w:rPr>
              <w:t xml:space="preserve">Perifēro asinsvadu balonizpletoša </w:t>
            </w:r>
          </w:p>
          <w:p w:rsidR="00795F7D" w:rsidRPr="00795F7D" w:rsidRDefault="00795F7D" w:rsidP="00795F7D">
            <w:pPr>
              <w:spacing w:after="0" w:line="240" w:lineRule="auto"/>
              <w:jc w:val="both"/>
              <w:rPr>
                <w:rFonts w:ascii="Times New Roman" w:hAnsi="Times New Roman"/>
                <w:bCs/>
                <w:sz w:val="20"/>
                <w:szCs w:val="20"/>
              </w:rPr>
            </w:pPr>
            <w:r w:rsidRPr="00795F7D">
              <w:rPr>
                <w:rFonts w:ascii="Times New Roman" w:hAnsi="Times New Roman"/>
                <w:bCs/>
                <w:sz w:val="20"/>
                <w:szCs w:val="20"/>
              </w:rPr>
              <w:t>stent - protēze</w:t>
            </w:r>
          </w:p>
        </w:tc>
        <w:tc>
          <w:tcPr>
            <w:tcW w:w="975"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r w:rsidRPr="00795F7D">
              <w:rPr>
                <w:rFonts w:ascii="Times New Roman" w:eastAsia="Times New Roman" w:hAnsi="Times New Roman"/>
                <w:bCs/>
                <w:sz w:val="20"/>
                <w:szCs w:val="20"/>
                <w:lang w:eastAsia="lv-LV"/>
              </w:rPr>
              <w:t>gab.</w:t>
            </w:r>
          </w:p>
        </w:tc>
        <w:tc>
          <w:tcPr>
            <w:tcW w:w="739" w:type="dxa"/>
            <w:shd w:val="clear" w:color="auto" w:fill="auto"/>
            <w:vAlign w:val="center"/>
          </w:tcPr>
          <w:p w:rsidR="00795F7D" w:rsidRPr="00795F7D" w:rsidRDefault="00A0657E" w:rsidP="00795F7D">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c>
          <w:tcPr>
            <w:tcW w:w="1350" w:type="dxa"/>
            <w:shd w:val="clear" w:color="auto" w:fill="auto"/>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p>
        </w:tc>
        <w:tc>
          <w:tcPr>
            <w:tcW w:w="1244" w:type="dxa"/>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p>
        </w:tc>
      </w:tr>
      <w:tr w:rsidR="00795F7D" w:rsidRPr="00795F7D" w:rsidTr="00B13E42">
        <w:trPr>
          <w:trHeight w:val="222"/>
        </w:trPr>
        <w:tc>
          <w:tcPr>
            <w:tcW w:w="7654" w:type="dxa"/>
            <w:gridSpan w:val="5"/>
            <w:shd w:val="clear" w:color="auto" w:fill="auto"/>
            <w:vAlign w:val="center"/>
          </w:tcPr>
          <w:p w:rsidR="00795F7D" w:rsidRPr="00795F7D" w:rsidRDefault="00795F7D" w:rsidP="00795F7D">
            <w:pPr>
              <w:spacing w:after="0" w:line="240" w:lineRule="auto"/>
              <w:jc w:val="right"/>
              <w:rPr>
                <w:rFonts w:ascii="Times New Roman" w:eastAsia="Times New Roman" w:hAnsi="Times New Roman"/>
                <w:b/>
                <w:bCs/>
                <w:sz w:val="20"/>
                <w:szCs w:val="20"/>
                <w:lang w:eastAsia="lv-LV"/>
              </w:rPr>
            </w:pPr>
            <w:r w:rsidRPr="00795F7D">
              <w:rPr>
                <w:rFonts w:ascii="Times New Roman" w:eastAsia="Times New Roman" w:hAnsi="Times New Roman"/>
                <w:b/>
                <w:bCs/>
                <w:sz w:val="20"/>
                <w:szCs w:val="20"/>
                <w:lang w:eastAsia="lv-LV"/>
              </w:rPr>
              <w:t>Kopā, EUR bez PVN</w:t>
            </w:r>
          </w:p>
        </w:tc>
        <w:tc>
          <w:tcPr>
            <w:tcW w:w="1244" w:type="dxa"/>
            <w:vAlign w:val="center"/>
          </w:tcPr>
          <w:p w:rsidR="00795F7D" w:rsidRPr="00795F7D" w:rsidRDefault="00795F7D" w:rsidP="00795F7D">
            <w:pPr>
              <w:spacing w:after="0" w:line="240" w:lineRule="auto"/>
              <w:jc w:val="center"/>
              <w:rPr>
                <w:rFonts w:ascii="Times New Roman" w:eastAsia="Times New Roman" w:hAnsi="Times New Roman"/>
                <w:b/>
                <w:bCs/>
                <w:sz w:val="20"/>
                <w:szCs w:val="20"/>
                <w:lang w:eastAsia="lv-LV"/>
              </w:rPr>
            </w:pPr>
          </w:p>
        </w:tc>
      </w:tr>
      <w:tr w:rsidR="00795F7D" w:rsidRPr="00795F7D" w:rsidTr="00B13E42">
        <w:trPr>
          <w:trHeight w:val="222"/>
        </w:trPr>
        <w:tc>
          <w:tcPr>
            <w:tcW w:w="7654" w:type="dxa"/>
            <w:gridSpan w:val="5"/>
            <w:shd w:val="clear" w:color="auto" w:fill="auto"/>
            <w:vAlign w:val="center"/>
          </w:tcPr>
          <w:p w:rsidR="00795F7D" w:rsidRPr="00795F7D" w:rsidRDefault="00795F7D" w:rsidP="00795F7D">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PVN __</w:t>
            </w:r>
            <w:r w:rsidRPr="00795F7D">
              <w:rPr>
                <w:rFonts w:ascii="Times New Roman" w:eastAsia="Times New Roman" w:hAnsi="Times New Roman"/>
                <w:bCs/>
                <w:sz w:val="20"/>
                <w:szCs w:val="20"/>
                <w:lang w:eastAsia="lv-LV"/>
              </w:rPr>
              <w:t>%</w:t>
            </w:r>
          </w:p>
        </w:tc>
        <w:tc>
          <w:tcPr>
            <w:tcW w:w="1244" w:type="dxa"/>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p>
        </w:tc>
      </w:tr>
      <w:tr w:rsidR="00795F7D" w:rsidRPr="00795F7D" w:rsidTr="00B13E42">
        <w:trPr>
          <w:trHeight w:val="222"/>
        </w:trPr>
        <w:tc>
          <w:tcPr>
            <w:tcW w:w="7654" w:type="dxa"/>
            <w:gridSpan w:val="5"/>
            <w:shd w:val="clear" w:color="auto" w:fill="auto"/>
            <w:vAlign w:val="center"/>
          </w:tcPr>
          <w:p w:rsidR="00795F7D" w:rsidRPr="00795F7D" w:rsidRDefault="00795F7D" w:rsidP="00795F7D">
            <w:pPr>
              <w:spacing w:after="0" w:line="240" w:lineRule="auto"/>
              <w:jc w:val="right"/>
              <w:rPr>
                <w:rFonts w:ascii="Times New Roman" w:eastAsia="Times New Roman" w:hAnsi="Times New Roman"/>
                <w:bCs/>
                <w:sz w:val="20"/>
                <w:szCs w:val="20"/>
                <w:lang w:eastAsia="lv-LV"/>
              </w:rPr>
            </w:pPr>
            <w:r w:rsidRPr="00795F7D">
              <w:rPr>
                <w:rFonts w:ascii="Times New Roman" w:eastAsia="Times New Roman" w:hAnsi="Times New Roman"/>
                <w:bCs/>
                <w:sz w:val="20"/>
                <w:szCs w:val="20"/>
                <w:lang w:eastAsia="lv-LV"/>
              </w:rPr>
              <w:t>Kopā, EUR ar PVN</w:t>
            </w:r>
          </w:p>
        </w:tc>
        <w:tc>
          <w:tcPr>
            <w:tcW w:w="1244" w:type="dxa"/>
            <w:vAlign w:val="center"/>
          </w:tcPr>
          <w:p w:rsidR="00795F7D" w:rsidRPr="00795F7D" w:rsidRDefault="00795F7D" w:rsidP="00795F7D">
            <w:pPr>
              <w:spacing w:after="0" w:line="240" w:lineRule="auto"/>
              <w:jc w:val="center"/>
              <w:rPr>
                <w:rFonts w:ascii="Times New Roman" w:eastAsia="Times New Roman" w:hAnsi="Times New Roman"/>
                <w:bCs/>
                <w:sz w:val="20"/>
                <w:szCs w:val="20"/>
                <w:lang w:eastAsia="lv-LV"/>
              </w:rPr>
            </w:pPr>
          </w:p>
        </w:tc>
      </w:tr>
    </w:tbl>
    <w:p w:rsidR="00770D88" w:rsidRPr="007B28AB" w:rsidRDefault="00770D88" w:rsidP="008061E9">
      <w:pPr>
        <w:spacing w:after="0" w:line="240" w:lineRule="auto"/>
        <w:ind w:right="752"/>
        <w:rPr>
          <w:rFonts w:ascii="Times New Roman" w:eastAsia="Times New Roman" w:hAnsi="Times New Roman"/>
          <w:sz w:val="20"/>
          <w:szCs w:val="24"/>
        </w:rPr>
      </w:pPr>
    </w:p>
    <w:p w:rsidR="00362DCB" w:rsidRPr="00362DCB"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362DCB" w:rsidRDefault="00316604"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362DCB">
        <w:rPr>
          <w:rFonts w:ascii="Times New Roman" w:eastAsia="Times New Roman" w:hAnsi="Times New Roman"/>
          <w:bCs/>
          <w:sz w:val="24"/>
          <w:szCs w:val="24"/>
        </w:rPr>
        <w:t>.gada ___._____________</w:t>
      </w:r>
    </w:p>
    <w:p w:rsidR="00362DCB" w:rsidRPr="00362DCB"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5801AA" w:rsidRDefault="00362DCB" w:rsidP="009D7916">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w:t>
      </w:r>
      <w:r w:rsidR="00882F0F">
        <w:rPr>
          <w:rFonts w:ascii="Times New Roman" w:eastAsia="Times New Roman" w:hAnsi="Times New Roman"/>
          <w:bCs/>
          <w:i/>
          <w:sz w:val="20"/>
          <w:szCs w:val="20"/>
          <w:lang w:eastAsia="lv-LV"/>
        </w:rPr>
        <w:t>piju) paraksts, tā atšifrējums)</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5B4164" w:rsidRPr="000D0422" w:rsidRDefault="005B4164" w:rsidP="005B4164">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5B4164" w:rsidRPr="000D0422" w:rsidRDefault="005B4164" w:rsidP="005B4164">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2016/155</w:t>
      </w:r>
      <w:r w:rsidRPr="000D0422">
        <w:rPr>
          <w:rFonts w:ascii="Times New Roman" w:eastAsia="Times New Roman" w:hAnsi="Times New Roman"/>
          <w:sz w:val="23"/>
          <w:szCs w:val="23"/>
        </w:rPr>
        <w:t>)</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5B4164" w:rsidRPr="005B4164" w:rsidRDefault="005B4164" w:rsidP="005B4164">
      <w:pPr>
        <w:spacing w:after="0" w:line="240" w:lineRule="auto"/>
        <w:ind w:right="-427"/>
        <w:jc w:val="center"/>
        <w:rPr>
          <w:rFonts w:ascii="Times New Roman" w:eastAsia="Times New Roman" w:hAnsi="Times New Roman"/>
          <w:bCs/>
          <w:i/>
          <w:iCs/>
          <w:sz w:val="23"/>
          <w:szCs w:val="23"/>
        </w:rPr>
      </w:pPr>
      <w:r w:rsidRPr="005B4164">
        <w:rPr>
          <w:rFonts w:ascii="Times New Roman" w:eastAsia="Times New Roman" w:hAnsi="Times New Roman"/>
          <w:b/>
          <w:sz w:val="23"/>
          <w:szCs w:val="23"/>
        </w:rPr>
        <w:t>LĪGUMS Nr. __________</w:t>
      </w:r>
      <w:r>
        <w:rPr>
          <w:rFonts w:ascii="Times New Roman" w:eastAsia="Times New Roman" w:hAnsi="Times New Roman"/>
          <w:b/>
          <w:sz w:val="23"/>
          <w:szCs w:val="23"/>
        </w:rPr>
        <w:t xml:space="preserve"> </w:t>
      </w:r>
      <w:r w:rsidRPr="005B4164">
        <w:rPr>
          <w:rFonts w:ascii="Times New Roman" w:eastAsia="Times New Roman" w:hAnsi="Times New Roman"/>
          <w:bCs/>
          <w:i/>
          <w:iCs/>
          <w:sz w:val="23"/>
          <w:szCs w:val="23"/>
        </w:rPr>
        <w:t>(projekts)</w:t>
      </w:r>
    </w:p>
    <w:p w:rsidR="005B4164" w:rsidRPr="005B4164" w:rsidRDefault="005B4164" w:rsidP="005B4164">
      <w:pPr>
        <w:spacing w:after="0" w:line="240" w:lineRule="auto"/>
        <w:ind w:right="-427"/>
        <w:jc w:val="center"/>
        <w:rPr>
          <w:rFonts w:ascii="Times New Roman" w:eastAsia="Times New Roman" w:hAnsi="Times New Roman"/>
          <w:i/>
          <w:iCs/>
          <w:sz w:val="23"/>
          <w:szCs w:val="23"/>
        </w:rPr>
      </w:pPr>
      <w:r w:rsidRPr="005B4164">
        <w:rPr>
          <w:rFonts w:ascii="Times New Roman" w:hAnsi="Times New Roman"/>
          <w:i/>
          <w:iCs/>
          <w:sz w:val="23"/>
          <w:szCs w:val="23"/>
        </w:rPr>
        <w:t>Ievadslūžu un perifēro asinsvadu balonizpletošo stent-protēžu piegāde</w:t>
      </w:r>
    </w:p>
    <w:tbl>
      <w:tblPr>
        <w:tblW w:w="9358" w:type="dxa"/>
        <w:tblLook w:val="04A0" w:firstRow="1" w:lastRow="0" w:firstColumn="1" w:lastColumn="0" w:noHBand="0" w:noVBand="1"/>
      </w:tblPr>
      <w:tblGrid>
        <w:gridCol w:w="4670"/>
        <w:gridCol w:w="4688"/>
      </w:tblGrid>
      <w:tr w:rsidR="005B4164" w:rsidRPr="005B4164" w:rsidTr="00B13E42">
        <w:trPr>
          <w:trHeight w:val="359"/>
        </w:trPr>
        <w:tc>
          <w:tcPr>
            <w:tcW w:w="4670" w:type="dxa"/>
            <w:shd w:val="clear" w:color="auto" w:fill="auto"/>
          </w:tcPr>
          <w:p w:rsidR="005B4164" w:rsidRDefault="005B4164" w:rsidP="005B4164">
            <w:pPr>
              <w:spacing w:after="0" w:line="240" w:lineRule="auto"/>
              <w:ind w:right="-427"/>
              <w:rPr>
                <w:rFonts w:ascii="Times New Roman" w:eastAsia="Times New Roman" w:hAnsi="Times New Roman"/>
                <w:sz w:val="23"/>
                <w:szCs w:val="23"/>
              </w:rPr>
            </w:pPr>
          </w:p>
          <w:p w:rsidR="005B4164" w:rsidRPr="005B4164" w:rsidRDefault="005B4164" w:rsidP="005B4164">
            <w:pPr>
              <w:spacing w:after="0" w:line="240" w:lineRule="auto"/>
              <w:ind w:right="-427"/>
              <w:rPr>
                <w:rFonts w:ascii="Times New Roman" w:eastAsia="Times New Roman" w:hAnsi="Times New Roman"/>
                <w:sz w:val="23"/>
                <w:szCs w:val="23"/>
              </w:rPr>
            </w:pPr>
            <w:r w:rsidRPr="005B4164">
              <w:rPr>
                <w:rFonts w:ascii="Times New Roman" w:eastAsia="Times New Roman" w:hAnsi="Times New Roman"/>
                <w:sz w:val="23"/>
                <w:szCs w:val="23"/>
              </w:rPr>
              <w:t>Rīgā,</w:t>
            </w:r>
          </w:p>
        </w:tc>
        <w:tc>
          <w:tcPr>
            <w:tcW w:w="4688" w:type="dxa"/>
            <w:shd w:val="clear" w:color="auto" w:fill="auto"/>
          </w:tcPr>
          <w:p w:rsidR="005B4164" w:rsidRDefault="005B4164" w:rsidP="005B4164">
            <w:pPr>
              <w:spacing w:after="0" w:line="240" w:lineRule="auto"/>
              <w:ind w:right="-427"/>
              <w:jc w:val="right"/>
              <w:rPr>
                <w:rFonts w:ascii="Times New Roman" w:eastAsia="Times New Roman" w:hAnsi="Times New Roman"/>
                <w:sz w:val="23"/>
                <w:szCs w:val="23"/>
              </w:rPr>
            </w:pPr>
          </w:p>
          <w:p w:rsidR="005B4164" w:rsidRPr="005B4164" w:rsidRDefault="005B4164" w:rsidP="005B4164">
            <w:pPr>
              <w:spacing w:after="0" w:line="240" w:lineRule="auto"/>
              <w:ind w:right="-427"/>
              <w:jc w:val="right"/>
              <w:rPr>
                <w:rFonts w:ascii="Times New Roman" w:eastAsia="Times New Roman" w:hAnsi="Times New Roman"/>
                <w:sz w:val="23"/>
                <w:szCs w:val="23"/>
              </w:rPr>
            </w:pPr>
            <w:r w:rsidRPr="005B4164">
              <w:rPr>
                <w:rFonts w:ascii="Times New Roman" w:eastAsia="Times New Roman" w:hAnsi="Times New Roman"/>
                <w:sz w:val="23"/>
                <w:szCs w:val="23"/>
              </w:rPr>
              <w:t>2016.gada ___.____________</w:t>
            </w:r>
          </w:p>
        </w:tc>
      </w:tr>
    </w:tbl>
    <w:p w:rsidR="005B4164" w:rsidRPr="005B4164" w:rsidRDefault="005B4164" w:rsidP="005B4164">
      <w:pPr>
        <w:tabs>
          <w:tab w:val="left" w:pos="6180"/>
        </w:tabs>
        <w:spacing w:after="0" w:line="240" w:lineRule="auto"/>
        <w:ind w:right="-427"/>
        <w:jc w:val="both"/>
        <w:rPr>
          <w:rFonts w:ascii="Times New Roman" w:eastAsia="Times New Roman" w:hAnsi="Times New Roman"/>
          <w:sz w:val="23"/>
          <w:szCs w:val="23"/>
        </w:rPr>
      </w:pPr>
      <w:r w:rsidRPr="005B4164">
        <w:rPr>
          <w:rFonts w:ascii="Times New Roman" w:eastAsia="Times New Roman" w:hAnsi="Times New Roman"/>
          <w:sz w:val="23"/>
          <w:szCs w:val="23"/>
        </w:rPr>
        <w:t> </w:t>
      </w:r>
      <w:r w:rsidRPr="005B4164">
        <w:rPr>
          <w:rFonts w:ascii="Times New Roman" w:eastAsia="Times New Roman" w:hAnsi="Times New Roman"/>
          <w:sz w:val="23"/>
          <w:szCs w:val="23"/>
        </w:rPr>
        <w:tab/>
      </w:r>
    </w:p>
    <w:p w:rsidR="005B4164" w:rsidRPr="005B4164" w:rsidRDefault="005B4164" w:rsidP="005B4164">
      <w:pPr>
        <w:spacing w:after="0" w:line="240" w:lineRule="auto"/>
        <w:ind w:right="-427"/>
        <w:jc w:val="both"/>
        <w:rPr>
          <w:rFonts w:ascii="Times New Roman" w:eastAsia="Times New Roman" w:hAnsi="Times New Roman"/>
          <w:sz w:val="23"/>
          <w:szCs w:val="23"/>
        </w:rPr>
      </w:pPr>
      <w:r w:rsidRPr="005B4164">
        <w:rPr>
          <w:rFonts w:ascii="Times New Roman" w:eastAsia="Times New Roman" w:hAnsi="Times New Roman"/>
          <w:b/>
          <w:bCs/>
          <w:sz w:val="23"/>
          <w:szCs w:val="23"/>
        </w:rPr>
        <w:t>VSIA „Paula Stradiņa klīniskā universitātes slimnīca”</w:t>
      </w:r>
      <w:r w:rsidRPr="005B4164">
        <w:rPr>
          <w:rFonts w:ascii="Times New Roman" w:eastAsia="Times New Roman" w:hAnsi="Times New Roman"/>
          <w:snapToGrid w:val="0"/>
          <w:sz w:val="23"/>
          <w:szCs w:val="23"/>
        </w:rPr>
        <w:t>, reģ.Nr.</w:t>
      </w:r>
      <w:r w:rsidRPr="005B4164">
        <w:rPr>
          <w:rFonts w:ascii="Times New Roman" w:eastAsia="Times New Roman" w:hAnsi="Times New Roman"/>
          <w:sz w:val="23"/>
          <w:szCs w:val="23"/>
        </w:rPr>
        <w:t xml:space="preserve">40003457109, kuru, pamatojoties uz statūtiem pārstāv valdes locekļi </w:t>
      </w:r>
      <w:r w:rsidR="004D620A">
        <w:rPr>
          <w:rFonts w:ascii="Times New Roman" w:eastAsia="Times New Roman" w:hAnsi="Times New Roman"/>
          <w:sz w:val="23"/>
          <w:szCs w:val="23"/>
        </w:rPr>
        <w:t>________</w:t>
      </w:r>
      <w:r w:rsidRPr="005B4164">
        <w:rPr>
          <w:rFonts w:ascii="Times New Roman" w:eastAsia="Times New Roman" w:hAnsi="Times New Roman"/>
          <w:sz w:val="23"/>
          <w:szCs w:val="23"/>
        </w:rPr>
        <w:t xml:space="preserve"> (turpmāk -Pasūtītājs) no vienas puses, un</w:t>
      </w:r>
    </w:p>
    <w:p w:rsidR="005B4164" w:rsidRPr="005B4164" w:rsidRDefault="004D620A" w:rsidP="005B4164">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_________</w:t>
      </w:r>
      <w:r w:rsidR="005B4164" w:rsidRPr="005B4164">
        <w:rPr>
          <w:rFonts w:ascii="Times New Roman" w:hAnsi="Times New Roman"/>
          <w:sz w:val="23"/>
          <w:szCs w:val="23"/>
        </w:rPr>
        <w:t xml:space="preserve">, reģistrācijas Nr. </w:t>
      </w:r>
      <w:r>
        <w:rPr>
          <w:rFonts w:ascii="Times New Roman" w:hAnsi="Times New Roman"/>
          <w:sz w:val="23"/>
          <w:szCs w:val="23"/>
        </w:rPr>
        <w:t>_________</w:t>
      </w:r>
      <w:r w:rsidR="005B4164" w:rsidRPr="005B4164">
        <w:rPr>
          <w:rFonts w:ascii="Times New Roman" w:hAnsi="Times New Roman"/>
          <w:sz w:val="23"/>
          <w:szCs w:val="23"/>
        </w:rPr>
        <w:t xml:space="preserve">, tās </w:t>
      </w:r>
      <w:r>
        <w:rPr>
          <w:rFonts w:ascii="Times New Roman" w:hAnsi="Times New Roman"/>
          <w:sz w:val="23"/>
          <w:szCs w:val="23"/>
        </w:rPr>
        <w:t>_________</w:t>
      </w:r>
      <w:r w:rsidR="005B4164" w:rsidRPr="005B4164">
        <w:rPr>
          <w:rFonts w:ascii="Times New Roman" w:hAnsi="Times New Roman"/>
          <w:sz w:val="23"/>
          <w:szCs w:val="23"/>
        </w:rPr>
        <w:t xml:space="preserve"> </w:t>
      </w:r>
      <w:r>
        <w:rPr>
          <w:rFonts w:ascii="Times New Roman" w:hAnsi="Times New Roman"/>
          <w:sz w:val="23"/>
          <w:szCs w:val="23"/>
        </w:rPr>
        <w:t>__________ personā, kur__</w:t>
      </w:r>
      <w:r w:rsidR="005B4164" w:rsidRPr="005B4164">
        <w:rPr>
          <w:rFonts w:ascii="Times New Roman" w:hAnsi="Times New Roman"/>
          <w:sz w:val="23"/>
          <w:szCs w:val="23"/>
        </w:rPr>
        <w:t xml:space="preserve"> rīkojas uz </w:t>
      </w:r>
      <w:r>
        <w:rPr>
          <w:rFonts w:ascii="Times New Roman" w:hAnsi="Times New Roman"/>
          <w:sz w:val="23"/>
          <w:szCs w:val="23"/>
        </w:rPr>
        <w:t xml:space="preserve">_________ </w:t>
      </w:r>
      <w:r w:rsidR="005B4164" w:rsidRPr="005B4164">
        <w:rPr>
          <w:rFonts w:ascii="Times New Roman" w:hAnsi="Times New Roman"/>
          <w:sz w:val="23"/>
          <w:szCs w:val="23"/>
        </w:rPr>
        <w:t xml:space="preserve">pamata </w:t>
      </w:r>
      <w:r w:rsidR="005B4164" w:rsidRPr="005B4164">
        <w:rPr>
          <w:rFonts w:ascii="Times New Roman" w:eastAsia="Times New Roman" w:hAnsi="Times New Roman"/>
          <w:sz w:val="23"/>
          <w:szCs w:val="23"/>
        </w:rPr>
        <w:t xml:space="preserve">(turpmāk – Piegādātājs) no otras puses (abi kopā – Puses), </w:t>
      </w:r>
    </w:p>
    <w:p w:rsidR="005B4164" w:rsidRPr="005B4164" w:rsidRDefault="005B4164" w:rsidP="005B4164">
      <w:pPr>
        <w:spacing w:after="0" w:line="240" w:lineRule="auto"/>
        <w:ind w:right="-427"/>
        <w:jc w:val="both"/>
        <w:rPr>
          <w:rFonts w:ascii="Times New Roman" w:eastAsia="Times New Roman" w:hAnsi="Times New Roman"/>
          <w:sz w:val="23"/>
          <w:szCs w:val="23"/>
        </w:rPr>
      </w:pPr>
      <w:r w:rsidRPr="005B4164">
        <w:rPr>
          <w:rFonts w:ascii="Times New Roman" w:eastAsia="Times New Roman" w:hAnsi="Times New Roman"/>
          <w:sz w:val="23"/>
          <w:szCs w:val="23"/>
        </w:rPr>
        <w:t>pamatojoties uz iepirkuma „</w:t>
      </w:r>
      <w:r w:rsidR="004D620A">
        <w:rPr>
          <w:rFonts w:ascii="Times New Roman" w:hAnsi="Times New Roman"/>
          <w:sz w:val="23"/>
          <w:szCs w:val="23"/>
        </w:rPr>
        <w:t>Ievadslūžu un perifēro asinsvadu balonizpletošo stent-protēžu piegāde</w:t>
      </w:r>
      <w:r w:rsidRPr="005B4164">
        <w:rPr>
          <w:rFonts w:ascii="Times New Roman" w:eastAsia="Times New Roman" w:hAnsi="Times New Roman"/>
          <w:sz w:val="23"/>
          <w:szCs w:val="23"/>
        </w:rPr>
        <w:t>” (ID Nr. PSKUS 2016/</w:t>
      </w:r>
      <w:r w:rsidR="004D620A">
        <w:rPr>
          <w:rFonts w:ascii="Times New Roman" w:eastAsia="Times New Roman" w:hAnsi="Times New Roman"/>
          <w:sz w:val="23"/>
          <w:szCs w:val="23"/>
        </w:rPr>
        <w:t>155</w:t>
      </w:r>
      <w:r w:rsidRPr="005B4164">
        <w:rPr>
          <w:rFonts w:ascii="Times New Roman" w:eastAsia="Times New Roman" w:hAnsi="Times New Roman"/>
          <w:sz w:val="23"/>
          <w:szCs w:val="23"/>
        </w:rPr>
        <w:t xml:space="preserve">), rezultātiem un, saskaņā ar Piegādātāja iepirkumā iesniegto piedāvājumu, noslēdz šādu līgumu (turpmāk – </w:t>
      </w:r>
      <w:smartTag w:uri="schemas-tilde-lv/tildestengine" w:element="veidnes">
        <w:smartTagPr>
          <w:attr w:name="id" w:val="-1"/>
          <w:attr w:name="baseform" w:val="līgums"/>
          <w:attr w:name="text" w:val="līgums"/>
        </w:smartTagPr>
        <w:r w:rsidRPr="005B4164">
          <w:rPr>
            <w:rFonts w:ascii="Times New Roman" w:eastAsia="Times New Roman" w:hAnsi="Times New Roman"/>
            <w:sz w:val="23"/>
            <w:szCs w:val="23"/>
          </w:rPr>
          <w:t>Līgums</w:t>
        </w:r>
      </w:smartTag>
      <w:r w:rsidRPr="005B4164">
        <w:rPr>
          <w:rFonts w:ascii="Times New Roman" w:eastAsia="Times New Roman" w:hAnsi="Times New Roman"/>
          <w:sz w:val="23"/>
          <w:szCs w:val="23"/>
        </w:rPr>
        <w:t>):</w:t>
      </w:r>
    </w:p>
    <w:p w:rsidR="005B4164" w:rsidRPr="005B4164" w:rsidRDefault="005B4164" w:rsidP="005B4164">
      <w:pPr>
        <w:spacing w:after="0" w:line="240" w:lineRule="auto"/>
        <w:ind w:right="-427"/>
        <w:jc w:val="center"/>
        <w:rPr>
          <w:rFonts w:ascii="Times New Roman" w:eastAsia="Times New Roman" w:hAnsi="Times New Roman"/>
          <w:b/>
          <w:bCs/>
          <w:sz w:val="23"/>
          <w:szCs w:val="23"/>
        </w:rPr>
      </w:pPr>
    </w:p>
    <w:p w:rsidR="005B4164" w:rsidRPr="005B4164" w:rsidRDefault="005B4164" w:rsidP="005B4164">
      <w:pPr>
        <w:spacing w:after="0" w:line="240" w:lineRule="auto"/>
        <w:ind w:right="-427"/>
        <w:jc w:val="center"/>
        <w:rPr>
          <w:rFonts w:ascii="Times New Roman" w:eastAsia="Times New Roman" w:hAnsi="Times New Roman"/>
          <w:sz w:val="23"/>
          <w:szCs w:val="23"/>
        </w:rPr>
      </w:pPr>
      <w:r w:rsidRPr="005B4164">
        <w:rPr>
          <w:rFonts w:ascii="Times New Roman" w:eastAsia="Times New Roman" w:hAnsi="Times New Roman"/>
          <w:b/>
          <w:bCs/>
          <w:sz w:val="23"/>
          <w:szCs w:val="23"/>
        </w:rPr>
        <w:t>1. Līguma priekšmets</w:t>
      </w:r>
    </w:p>
    <w:p w:rsidR="005B4164" w:rsidRPr="005B4164" w:rsidRDefault="005B4164" w:rsidP="005B4164">
      <w:pPr>
        <w:numPr>
          <w:ilvl w:val="1"/>
          <w:numId w:val="44"/>
        </w:numPr>
        <w:spacing w:after="0" w:line="240" w:lineRule="auto"/>
        <w:ind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bCs/>
          <w:sz w:val="23"/>
          <w:szCs w:val="23"/>
          <w:lang w:eastAsia="lv-LV"/>
        </w:rPr>
        <w:t xml:space="preserve">Piegādātājs apņemas pārdot un piegādāt Pasūtītājam </w:t>
      </w:r>
      <w:r w:rsidR="003E4F3F">
        <w:rPr>
          <w:rFonts w:ascii="Times New Roman" w:eastAsia="Times New Roman" w:hAnsi="Times New Roman"/>
          <w:b/>
          <w:sz w:val="23"/>
          <w:szCs w:val="23"/>
          <w:lang w:eastAsia="lv-LV"/>
        </w:rPr>
        <w:t>ievadslūžas un perifēro asinsvadu balonizpletošās stent-protēzes</w:t>
      </w:r>
      <w:r w:rsidRPr="005B4164">
        <w:rPr>
          <w:rFonts w:ascii="Times New Roman" w:eastAsia="Times New Roman" w:hAnsi="Times New Roman"/>
          <w:bCs/>
          <w:sz w:val="23"/>
          <w:szCs w:val="23"/>
          <w:lang w:eastAsia="lv-LV"/>
        </w:rPr>
        <w:t xml:space="preserve"> (turpmāk – Prece) saskaņā ar Līguma pielikumā (turpmāk – Pielikums) </w:t>
      </w:r>
      <w:r w:rsidR="00CB1E36">
        <w:rPr>
          <w:rFonts w:ascii="Times New Roman" w:eastAsia="Times New Roman" w:hAnsi="Times New Roman"/>
          <w:bCs/>
          <w:sz w:val="23"/>
          <w:szCs w:val="23"/>
          <w:lang w:eastAsia="lv-LV"/>
        </w:rPr>
        <w:t>pievienoto</w:t>
      </w:r>
      <w:r w:rsidRPr="005B4164">
        <w:rPr>
          <w:rFonts w:ascii="Times New Roman" w:eastAsia="Times New Roman" w:hAnsi="Times New Roman"/>
          <w:bCs/>
          <w:sz w:val="23"/>
          <w:szCs w:val="23"/>
          <w:lang w:eastAsia="lv-LV"/>
        </w:rPr>
        <w:t xml:space="preserve"> </w:t>
      </w:r>
      <w:r w:rsidR="003E4F3F">
        <w:rPr>
          <w:rFonts w:ascii="Times New Roman" w:eastAsia="Times New Roman" w:hAnsi="Times New Roman"/>
          <w:bCs/>
          <w:sz w:val="23"/>
          <w:szCs w:val="23"/>
          <w:lang w:eastAsia="lv-LV"/>
        </w:rPr>
        <w:t xml:space="preserve">Tehnisko specifikāciju (1.pielikums), </w:t>
      </w:r>
      <w:r w:rsidR="00CB1E36">
        <w:rPr>
          <w:rFonts w:ascii="Times New Roman" w:eastAsia="Times New Roman" w:hAnsi="Times New Roman"/>
          <w:bCs/>
          <w:sz w:val="23"/>
          <w:szCs w:val="23"/>
          <w:lang w:eastAsia="lv-LV"/>
        </w:rPr>
        <w:t xml:space="preserve">norādīto </w:t>
      </w:r>
      <w:r w:rsidRPr="005B4164">
        <w:rPr>
          <w:rFonts w:ascii="Times New Roman" w:eastAsia="Times New Roman" w:hAnsi="Times New Roman"/>
          <w:bCs/>
          <w:sz w:val="23"/>
          <w:szCs w:val="23"/>
          <w:lang w:eastAsia="lv-LV"/>
        </w:rPr>
        <w:t>Preču daudzumu un Preču cenu, bet Pasūtītājs apņemas samaksāt Piegādātājam par atbilstoši Līguma noteikumiem piegādātajām precēm</w:t>
      </w:r>
      <w:r w:rsidRPr="005B4164">
        <w:rPr>
          <w:rFonts w:ascii="Times New Roman" w:eastAsia="Times New Roman" w:hAnsi="Times New Roman"/>
          <w:sz w:val="23"/>
          <w:szCs w:val="23"/>
          <w:lang w:eastAsia="lv-LV"/>
        </w:rPr>
        <w:t>.</w:t>
      </w:r>
    </w:p>
    <w:p w:rsidR="005B4164" w:rsidRPr="005B4164" w:rsidRDefault="005B4164" w:rsidP="005B4164">
      <w:pPr>
        <w:numPr>
          <w:ilvl w:val="1"/>
          <w:numId w:val="44"/>
        </w:numPr>
        <w:spacing w:after="0" w:line="240" w:lineRule="auto"/>
        <w:ind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Ja Pasūtītājam rodas nepieciešamība, Piegādātājs nodrošina tehnisko palīdzību operācijas laikā, konsultējot Pasūtītāju par Preču darbību 12 stundu laikā pēc telefoniskas konsultācijas pieprasījuma. Tālruņa numurs tehniskās palīdzības pieteikšanai: </w:t>
      </w:r>
      <w:r w:rsidR="003E4F3F">
        <w:rPr>
          <w:rFonts w:ascii="Times New Roman" w:eastAsia="Times New Roman" w:hAnsi="Times New Roman"/>
          <w:sz w:val="23"/>
          <w:szCs w:val="23"/>
          <w:lang w:eastAsia="lv-LV"/>
        </w:rPr>
        <w:t>t</w:t>
      </w:r>
      <w:r w:rsidRPr="005B4164">
        <w:rPr>
          <w:rFonts w:ascii="Times New Roman" w:eastAsia="Times New Roman" w:hAnsi="Times New Roman"/>
          <w:sz w:val="23"/>
          <w:szCs w:val="23"/>
          <w:lang w:eastAsia="lv-LV"/>
        </w:rPr>
        <w:t xml:space="preserve">ālr. </w:t>
      </w:r>
      <w:r w:rsidR="003E4F3F">
        <w:rPr>
          <w:rFonts w:ascii="Times New Roman" w:eastAsia="Times New Roman" w:hAnsi="Times New Roman"/>
          <w:sz w:val="23"/>
          <w:szCs w:val="23"/>
          <w:lang w:eastAsia="lv-LV"/>
        </w:rPr>
        <w:t>______</w:t>
      </w:r>
      <w:r w:rsidRPr="005B4164">
        <w:rPr>
          <w:rFonts w:ascii="Times New Roman" w:eastAsia="Times New Roman" w:hAnsi="Times New Roman"/>
          <w:sz w:val="23"/>
          <w:szCs w:val="23"/>
          <w:lang w:eastAsia="lv-LV"/>
        </w:rPr>
        <w:t xml:space="preserve"> (</w:t>
      </w:r>
      <w:r w:rsidR="003E4F3F">
        <w:rPr>
          <w:rFonts w:ascii="Times New Roman" w:eastAsia="Times New Roman" w:hAnsi="Times New Roman"/>
          <w:sz w:val="23"/>
          <w:szCs w:val="23"/>
          <w:lang w:eastAsia="lv-LV"/>
        </w:rPr>
        <w:t>_________</w:t>
      </w:r>
      <w:r w:rsidRPr="005B4164">
        <w:rPr>
          <w:rFonts w:ascii="Times New Roman" w:eastAsia="Times New Roman" w:hAnsi="Times New Roman"/>
          <w:sz w:val="23"/>
          <w:szCs w:val="23"/>
          <w:lang w:eastAsia="lv-LV"/>
        </w:rPr>
        <w:t>).</w:t>
      </w:r>
    </w:p>
    <w:p w:rsidR="005B4164" w:rsidRPr="005B4164" w:rsidRDefault="005B4164" w:rsidP="005B4164">
      <w:pPr>
        <w:spacing w:after="0" w:line="240" w:lineRule="auto"/>
        <w:ind w:right="-427"/>
        <w:jc w:val="both"/>
        <w:rPr>
          <w:rFonts w:ascii="Times New Roman" w:eastAsia="Times New Roman" w:hAnsi="Times New Roman"/>
          <w:sz w:val="23"/>
          <w:szCs w:val="23"/>
        </w:rPr>
      </w:pPr>
    </w:p>
    <w:p w:rsidR="005B4164" w:rsidRPr="005B4164" w:rsidRDefault="005B4164" w:rsidP="005B4164">
      <w:pPr>
        <w:tabs>
          <w:tab w:val="num" w:pos="420"/>
        </w:tabs>
        <w:spacing w:after="0" w:line="240" w:lineRule="auto"/>
        <w:ind w:right="-427"/>
        <w:jc w:val="center"/>
        <w:rPr>
          <w:rFonts w:ascii="Times New Roman" w:eastAsia="Times New Roman" w:hAnsi="Times New Roman"/>
          <w:sz w:val="23"/>
          <w:szCs w:val="23"/>
        </w:rPr>
      </w:pPr>
      <w:r w:rsidRPr="005B4164">
        <w:rPr>
          <w:rFonts w:ascii="Times New Roman" w:eastAsia="Times New Roman" w:hAnsi="Times New Roman"/>
          <w:b/>
          <w:bCs/>
          <w:sz w:val="23"/>
          <w:szCs w:val="23"/>
        </w:rPr>
        <w:t>2. Līguma summa un Preču cenas</w:t>
      </w:r>
      <w:r w:rsidRPr="005B4164">
        <w:rPr>
          <w:rFonts w:ascii="Times New Roman" w:eastAsia="Times New Roman" w:hAnsi="Times New Roman"/>
          <w:sz w:val="23"/>
          <w:szCs w:val="23"/>
        </w:rPr>
        <w:t> </w:t>
      </w:r>
      <w:r w:rsidRPr="005B4164">
        <w:rPr>
          <w:rFonts w:ascii="Times New Roman" w:eastAsia="Times New Roman" w:hAnsi="Times New Roman"/>
          <w:sz w:val="23"/>
          <w:szCs w:val="23"/>
        </w:rPr>
        <w:tab/>
      </w:r>
    </w:p>
    <w:p w:rsidR="005B4164" w:rsidRPr="005B4164" w:rsidRDefault="005B4164" w:rsidP="005B4164">
      <w:pPr>
        <w:numPr>
          <w:ilvl w:val="1"/>
          <w:numId w:val="45"/>
        </w:numPr>
        <w:spacing w:after="0" w:line="240" w:lineRule="auto"/>
        <w:ind w:left="567" w:right="-427" w:hanging="567"/>
        <w:contextualSpacing/>
        <w:jc w:val="both"/>
        <w:rPr>
          <w:rFonts w:ascii="Times New Roman" w:eastAsia="Times New Roman" w:hAnsi="Times New Roman"/>
          <w:sz w:val="23"/>
          <w:szCs w:val="23"/>
          <w:lang w:val="x-none" w:eastAsia="x-none"/>
        </w:rPr>
      </w:pPr>
      <w:r w:rsidRPr="005B4164">
        <w:rPr>
          <w:rFonts w:ascii="Times New Roman" w:eastAsia="Times New Roman" w:hAnsi="Times New Roman"/>
          <w:sz w:val="23"/>
          <w:szCs w:val="23"/>
          <w:lang w:eastAsia="x-none"/>
        </w:rPr>
        <w:t xml:space="preserve">Līguma kopējā summa par piegādātajām precēm bez pievienotās vērtības nodokļa (turpmāk – PVN) ir </w:t>
      </w:r>
      <w:r w:rsidRPr="005B4164">
        <w:rPr>
          <w:rFonts w:ascii="Times New Roman" w:eastAsia="Times New Roman" w:hAnsi="Times New Roman"/>
          <w:b/>
          <w:bCs/>
          <w:sz w:val="23"/>
          <w:szCs w:val="23"/>
          <w:lang w:eastAsia="x-none"/>
        </w:rPr>
        <w:t xml:space="preserve">EUR </w:t>
      </w:r>
      <w:r w:rsidR="00CB1E36">
        <w:rPr>
          <w:rFonts w:ascii="Times New Roman" w:eastAsia="Times New Roman" w:hAnsi="Times New Roman"/>
          <w:b/>
          <w:bCs/>
          <w:sz w:val="23"/>
          <w:szCs w:val="23"/>
          <w:lang w:eastAsia="x-none"/>
        </w:rPr>
        <w:t>_____,__</w:t>
      </w:r>
      <w:r w:rsidRPr="005B4164">
        <w:rPr>
          <w:rFonts w:ascii="Times New Roman" w:eastAsia="Times New Roman" w:hAnsi="Times New Roman"/>
          <w:sz w:val="23"/>
          <w:szCs w:val="23"/>
          <w:lang w:eastAsia="x-none"/>
        </w:rPr>
        <w:t xml:space="preserve"> (</w:t>
      </w:r>
      <w:r w:rsidR="00CB1E36">
        <w:rPr>
          <w:rFonts w:ascii="Times New Roman" w:eastAsia="Times New Roman" w:hAnsi="Times New Roman"/>
          <w:sz w:val="23"/>
          <w:szCs w:val="23"/>
          <w:lang w:eastAsia="x-none"/>
        </w:rPr>
        <w:t>__________</w:t>
      </w:r>
      <w:r w:rsidRPr="005B4164">
        <w:rPr>
          <w:rFonts w:ascii="Times New Roman" w:eastAsia="Times New Roman" w:hAnsi="Times New Roman"/>
          <w:sz w:val="23"/>
          <w:szCs w:val="23"/>
          <w:lang w:eastAsia="x-none"/>
        </w:rPr>
        <w:t xml:space="preserve"> </w:t>
      </w:r>
      <w:r w:rsidRPr="005B4164">
        <w:rPr>
          <w:rFonts w:ascii="Times New Roman" w:eastAsia="Times New Roman" w:hAnsi="Times New Roman"/>
          <w:i/>
          <w:iCs/>
          <w:sz w:val="23"/>
          <w:szCs w:val="23"/>
          <w:lang w:eastAsia="x-none"/>
        </w:rPr>
        <w:t>euro</w:t>
      </w:r>
      <w:r w:rsidR="00CB1E36">
        <w:rPr>
          <w:rFonts w:ascii="Times New Roman" w:eastAsia="Times New Roman" w:hAnsi="Times New Roman"/>
          <w:sz w:val="23"/>
          <w:szCs w:val="23"/>
          <w:lang w:eastAsia="x-none"/>
        </w:rPr>
        <w:t xml:space="preserve"> un __</w:t>
      </w:r>
      <w:r w:rsidRPr="005B4164">
        <w:rPr>
          <w:rFonts w:ascii="Times New Roman" w:eastAsia="Times New Roman" w:hAnsi="Times New Roman"/>
          <w:sz w:val="23"/>
          <w:szCs w:val="23"/>
          <w:lang w:eastAsia="x-none"/>
        </w:rPr>
        <w:t xml:space="preserve"> centi). Pievienotās vērtības nodoklis tiek aprēķināts un maksāts saskaņā ar Latvijas Republikā spēkā esošo pievienotās vērtības nodokļa likmi Preču piegādes brīdī.</w:t>
      </w:r>
    </w:p>
    <w:p w:rsidR="005B4164" w:rsidRPr="005B4164" w:rsidRDefault="005B4164" w:rsidP="005B4164">
      <w:pPr>
        <w:numPr>
          <w:ilvl w:val="1"/>
          <w:numId w:val="45"/>
        </w:numPr>
        <w:spacing w:after="0" w:line="240" w:lineRule="auto"/>
        <w:ind w:left="567" w:right="-427" w:hanging="567"/>
        <w:contextualSpacing/>
        <w:jc w:val="both"/>
        <w:rPr>
          <w:rFonts w:ascii="Times New Roman" w:eastAsia="Times New Roman" w:hAnsi="Times New Roman"/>
          <w:sz w:val="23"/>
          <w:szCs w:val="23"/>
          <w:lang w:val="x-none" w:eastAsia="x-none"/>
        </w:rPr>
      </w:pPr>
      <w:r w:rsidRPr="005B4164">
        <w:rPr>
          <w:rFonts w:ascii="Times New Roman" w:eastAsia="Times New Roman" w:hAnsi="Times New Roman"/>
          <w:sz w:val="23"/>
          <w:szCs w:val="23"/>
          <w:lang w:eastAsia="x-none"/>
        </w:rPr>
        <w:t>Līguma summa ietver Preču piegādes izdevumus līdz Līgumā norādītajai piegādes vietai (t.sk. transporta izmaksas), iepakojuma izmaksas, visus nodokļus un nodevas, kā arī citas izmaksas, kas attiecas uz Precēm un to piegādi.</w:t>
      </w:r>
      <w:r w:rsidRPr="005B4164">
        <w:rPr>
          <w:rFonts w:ascii="Times New Roman" w:eastAsia="Times New Roman" w:hAnsi="Times New Roman"/>
          <w:sz w:val="23"/>
          <w:szCs w:val="23"/>
          <w:lang w:val="x-none" w:eastAsia="x-none"/>
        </w:rPr>
        <w:t xml:space="preserve"> </w:t>
      </w:r>
    </w:p>
    <w:p w:rsidR="005B4164" w:rsidRPr="005B4164" w:rsidRDefault="005B4164" w:rsidP="005B4164">
      <w:pPr>
        <w:tabs>
          <w:tab w:val="num" w:pos="420"/>
        </w:tabs>
        <w:spacing w:after="0" w:line="240" w:lineRule="auto"/>
        <w:ind w:right="-427"/>
        <w:jc w:val="center"/>
        <w:rPr>
          <w:rFonts w:ascii="Times New Roman" w:eastAsia="Times New Roman" w:hAnsi="Times New Roman"/>
          <w:b/>
          <w:bCs/>
          <w:sz w:val="23"/>
          <w:szCs w:val="23"/>
        </w:rPr>
      </w:pPr>
    </w:p>
    <w:p w:rsidR="005B4164" w:rsidRPr="005B4164" w:rsidRDefault="005B4164" w:rsidP="005B4164">
      <w:pPr>
        <w:tabs>
          <w:tab w:val="num" w:pos="420"/>
        </w:tabs>
        <w:spacing w:after="0" w:line="240" w:lineRule="auto"/>
        <w:ind w:right="-427"/>
        <w:jc w:val="center"/>
        <w:rPr>
          <w:rFonts w:ascii="Times New Roman" w:eastAsia="Times New Roman" w:hAnsi="Times New Roman"/>
          <w:sz w:val="23"/>
          <w:szCs w:val="23"/>
        </w:rPr>
      </w:pPr>
      <w:r w:rsidRPr="005B4164">
        <w:rPr>
          <w:rFonts w:ascii="Times New Roman" w:eastAsia="Times New Roman" w:hAnsi="Times New Roman"/>
          <w:b/>
          <w:bCs/>
          <w:sz w:val="23"/>
          <w:szCs w:val="23"/>
        </w:rPr>
        <w:t>3. Preču piegāde</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preces piegādā Pasūtītājam saskaņā ar preču pasūtījumā norādīto uz šādu adresi: Pilsoņu iela 13, Rīga, Latvija.</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Pasūtītājs Preces pasūta pa telefonu vai izmantojot elektronisko pastu, sazinoties ar Līguma 3.12.2.apakšpunktā norādīto Piegādātāja kontaktpersonu. Pasūtītājs nosaka konkrētu Preču pasūtījuma apjomu un piegādes biežumu.</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pasūtītās Preces piegādā 3 (trīs) darbdienu laikā no Preču pasūtījuma saņemšanas dienas. Līdzējiem vienojoties var tikt noteikts cits Preču piegādes termiņš.</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nodrošina Preču piegādi, izmantojot savu transportu un darbaspēku.</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nodod Preces Pasūtītājam kopā ar preču rēķinu.</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Piegādātājs nodrošina, ka Pasūtītājam tiek iesniegti atbilstoši normatīvajiem aktiem noformēti Preču rēķina trīs eksemplāri (viens eksemplārs – Piegādātājam, divi eksemplāri – Pasūtītājam). Preču rēķinā tiek norādīts: piegādātās preces nosaukums, daudzums, vienas vienības cena </w:t>
      </w:r>
      <w:r w:rsidRPr="005B4164">
        <w:rPr>
          <w:rFonts w:ascii="Times New Roman" w:eastAsia="Times New Roman" w:hAnsi="Times New Roman"/>
          <w:i/>
          <w:iCs/>
          <w:sz w:val="23"/>
          <w:szCs w:val="23"/>
          <w:lang w:eastAsia="lv-LV"/>
        </w:rPr>
        <w:t>euro</w:t>
      </w:r>
      <w:r w:rsidRPr="005B4164">
        <w:rPr>
          <w:rFonts w:ascii="Times New Roman" w:eastAsia="Times New Roman" w:hAnsi="Times New Roman"/>
          <w:sz w:val="23"/>
          <w:szCs w:val="23"/>
          <w:lang w:eastAsia="lv-LV"/>
        </w:rPr>
        <w:t xml:space="preserve">, PVN likme, kopējā preču cena ar PVN un Līguma numurs. Pasūtītājs neapmaksā nepareizi noformētu Preču rēķinu. </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w:t>
      </w:r>
      <w:r w:rsidRPr="005B4164">
        <w:rPr>
          <w:rFonts w:ascii="Times New Roman" w:eastAsia="Times New Roman" w:hAnsi="Times New Roman"/>
          <w:sz w:val="23"/>
          <w:szCs w:val="23"/>
          <w:lang w:eastAsia="lv-LV"/>
        </w:rPr>
        <w:lastRenderedPageBreak/>
        <w:t>un nodod to Piegādātājam. Preču neatbilstības gadījumā Pasūtītājs ir tiesīgs nepieņemt un neapmaksāt Preces.</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pieņem atpakaļ no Pasūtītāja Līgumam neatbilstošās Preces un veic to aizvietošanu ar atbilstošām Precēm 3 (trīs) darba dienu laikā no Preču defekta akta sagatavošanas dienas par saviem līdzekļiem. Piegādātājs ne vēlāk kā 5 (piecu) stundu laikā no Preču defekta akta saņemšanas brīža īpaši steidzamos gadījumos, par ko Pasūtītājs brīdina Piegādātāju, veicot atzīmi uz Preču defekta akta: “STEIDZAMI”, par saviem līdzekļiem piegādā Pasūtītājam defektīvās Preces vietā jaunu Preci.</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Jautājumu par Preču defektu aktā 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Preces uzskatāmas par piegādātām un nodotām Pasūtītājam ar brīdi, kad Līdzēji abpusēji parakstījuši preču rēķinu.</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ir atbildīgs par piegādājamo Preču nejaušas, pilnīgas vai daļējas bojāejas vai bojāšanās risku līdz Preču rēķina parakstīšanas brīdim.</w:t>
      </w:r>
    </w:p>
    <w:p w:rsidR="005B4164" w:rsidRPr="005B4164" w:rsidRDefault="005B4164" w:rsidP="005B4164">
      <w:pPr>
        <w:numPr>
          <w:ilvl w:val="1"/>
          <w:numId w:val="46"/>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Kontaktpersonas Līguma darbības laikā:</w:t>
      </w:r>
    </w:p>
    <w:p w:rsidR="005B4164" w:rsidRPr="005B4164" w:rsidRDefault="005B4164" w:rsidP="005B4164">
      <w:pPr>
        <w:numPr>
          <w:ilvl w:val="2"/>
          <w:numId w:val="46"/>
        </w:numPr>
        <w:spacing w:after="0" w:line="240" w:lineRule="auto"/>
        <w:ind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Pasūtītāja puses: </w:t>
      </w:r>
      <w:r w:rsidR="004137AE">
        <w:rPr>
          <w:rFonts w:ascii="Times New Roman" w:eastAsia="Times New Roman" w:hAnsi="Times New Roman"/>
          <w:sz w:val="23"/>
          <w:szCs w:val="23"/>
          <w:lang w:eastAsia="lv-LV"/>
        </w:rPr>
        <w:t>__________</w:t>
      </w:r>
      <w:r w:rsidRPr="005B4164">
        <w:rPr>
          <w:rFonts w:ascii="Times New Roman" w:eastAsia="Times New Roman" w:hAnsi="Times New Roman"/>
          <w:sz w:val="23"/>
          <w:szCs w:val="23"/>
          <w:lang w:eastAsia="lv-LV"/>
        </w:rPr>
        <w:t xml:space="preserve">, tālr.: </w:t>
      </w:r>
      <w:r w:rsidR="004137AE">
        <w:rPr>
          <w:rFonts w:ascii="Times New Roman" w:eastAsia="Times New Roman" w:hAnsi="Times New Roman"/>
          <w:sz w:val="23"/>
          <w:szCs w:val="23"/>
          <w:lang w:eastAsia="lv-LV"/>
        </w:rPr>
        <w:t>___________</w:t>
      </w:r>
      <w:r w:rsidRPr="005B4164">
        <w:rPr>
          <w:rFonts w:ascii="Times New Roman" w:eastAsia="Times New Roman" w:hAnsi="Times New Roman"/>
          <w:sz w:val="23"/>
          <w:szCs w:val="23"/>
          <w:lang w:eastAsia="lv-LV"/>
        </w:rPr>
        <w:t xml:space="preserve">, e-pasts: </w:t>
      </w:r>
      <w:hyperlink r:id="rId15" w:history="1">
        <w:r w:rsidR="004137AE">
          <w:rPr>
            <w:rFonts w:ascii="Times New Roman" w:eastAsia="Times New Roman" w:hAnsi="Times New Roman"/>
            <w:color w:val="0000FF"/>
            <w:sz w:val="23"/>
            <w:szCs w:val="23"/>
            <w:u w:val="single"/>
            <w:lang w:eastAsia="lv-LV"/>
          </w:rPr>
          <w:t>______________</w:t>
        </w:r>
      </w:hyperlink>
      <w:r w:rsidRPr="005B4164">
        <w:rPr>
          <w:rFonts w:ascii="Times New Roman" w:eastAsia="Times New Roman" w:hAnsi="Times New Roman"/>
          <w:sz w:val="23"/>
          <w:szCs w:val="23"/>
          <w:lang w:eastAsia="lv-LV"/>
        </w:rPr>
        <w:t>;</w:t>
      </w:r>
    </w:p>
    <w:p w:rsidR="005B4164" w:rsidRPr="005B4164" w:rsidRDefault="005B4164" w:rsidP="005B4164">
      <w:pPr>
        <w:numPr>
          <w:ilvl w:val="2"/>
          <w:numId w:val="46"/>
        </w:numPr>
        <w:spacing w:after="0" w:line="240" w:lineRule="auto"/>
        <w:ind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Piegādātāja puses: </w:t>
      </w:r>
      <w:r w:rsidR="004137AE">
        <w:rPr>
          <w:rFonts w:ascii="Times New Roman" w:eastAsia="Times New Roman" w:hAnsi="Times New Roman"/>
          <w:sz w:val="23"/>
          <w:szCs w:val="23"/>
          <w:lang w:eastAsia="lv-LV"/>
        </w:rPr>
        <w:t>___________</w:t>
      </w:r>
      <w:r w:rsidRPr="005B4164">
        <w:rPr>
          <w:rFonts w:ascii="Times New Roman" w:eastAsia="Times New Roman" w:hAnsi="Times New Roman"/>
          <w:sz w:val="23"/>
          <w:szCs w:val="23"/>
          <w:lang w:eastAsia="lv-LV"/>
        </w:rPr>
        <w:t xml:space="preserve">, </w:t>
      </w:r>
      <w:r w:rsidR="004137AE" w:rsidRPr="005B4164">
        <w:rPr>
          <w:rFonts w:ascii="Times New Roman" w:eastAsia="Times New Roman" w:hAnsi="Times New Roman"/>
          <w:sz w:val="23"/>
          <w:szCs w:val="23"/>
          <w:lang w:eastAsia="lv-LV"/>
        </w:rPr>
        <w:t xml:space="preserve">tālr.: </w:t>
      </w:r>
      <w:r w:rsidR="004137AE">
        <w:rPr>
          <w:rFonts w:ascii="Times New Roman" w:eastAsia="Times New Roman" w:hAnsi="Times New Roman"/>
          <w:sz w:val="23"/>
          <w:szCs w:val="23"/>
          <w:lang w:eastAsia="lv-LV"/>
        </w:rPr>
        <w:t>___________</w:t>
      </w:r>
      <w:r w:rsidR="004137AE" w:rsidRPr="005B4164">
        <w:rPr>
          <w:rFonts w:ascii="Times New Roman" w:eastAsia="Times New Roman" w:hAnsi="Times New Roman"/>
          <w:sz w:val="23"/>
          <w:szCs w:val="23"/>
          <w:lang w:eastAsia="lv-LV"/>
        </w:rPr>
        <w:t xml:space="preserve">, </w:t>
      </w:r>
      <w:r w:rsidRPr="005B4164">
        <w:rPr>
          <w:rFonts w:ascii="Times New Roman" w:eastAsia="Times New Roman" w:hAnsi="Times New Roman"/>
          <w:sz w:val="23"/>
          <w:szCs w:val="23"/>
          <w:lang w:eastAsia="lv-LV"/>
        </w:rPr>
        <w:t xml:space="preserve">e-pasts: </w:t>
      </w:r>
      <w:hyperlink r:id="rId16" w:history="1">
        <w:r w:rsidR="004137AE">
          <w:rPr>
            <w:rFonts w:ascii="Times New Roman" w:eastAsia="Times New Roman" w:hAnsi="Times New Roman"/>
            <w:color w:val="0000FF"/>
            <w:sz w:val="23"/>
            <w:szCs w:val="23"/>
            <w:u w:val="single"/>
            <w:lang w:eastAsia="lv-LV"/>
          </w:rPr>
          <w:t>______________</w:t>
        </w:r>
      </w:hyperlink>
      <w:r w:rsidRPr="005B4164">
        <w:rPr>
          <w:rFonts w:ascii="Times New Roman" w:eastAsia="Times New Roman" w:hAnsi="Times New Roman"/>
          <w:sz w:val="23"/>
          <w:szCs w:val="23"/>
          <w:lang w:eastAsia="lv-LV"/>
        </w:rPr>
        <w:t xml:space="preserve">.   </w:t>
      </w:r>
    </w:p>
    <w:p w:rsidR="005B4164" w:rsidRPr="005B4164" w:rsidRDefault="005B4164" w:rsidP="005B4164">
      <w:pPr>
        <w:tabs>
          <w:tab w:val="num" w:pos="0"/>
        </w:tabs>
        <w:spacing w:after="0" w:line="240" w:lineRule="auto"/>
        <w:ind w:right="-427"/>
        <w:rPr>
          <w:rFonts w:ascii="Times New Roman" w:eastAsia="Times New Roman" w:hAnsi="Times New Roman"/>
          <w:b/>
          <w:bCs/>
          <w:sz w:val="23"/>
          <w:szCs w:val="23"/>
        </w:rPr>
      </w:pPr>
    </w:p>
    <w:p w:rsidR="005B4164" w:rsidRPr="005B4164" w:rsidRDefault="005B4164" w:rsidP="005B4164">
      <w:pPr>
        <w:tabs>
          <w:tab w:val="num" w:pos="420"/>
        </w:tabs>
        <w:spacing w:after="0" w:line="240" w:lineRule="auto"/>
        <w:ind w:right="-427"/>
        <w:jc w:val="center"/>
        <w:rPr>
          <w:rFonts w:ascii="Times New Roman" w:eastAsia="Times New Roman" w:hAnsi="Times New Roman"/>
          <w:sz w:val="23"/>
          <w:szCs w:val="23"/>
        </w:rPr>
      </w:pPr>
      <w:r w:rsidRPr="005B4164">
        <w:rPr>
          <w:rFonts w:ascii="Times New Roman" w:eastAsia="Times New Roman" w:hAnsi="Times New Roman"/>
          <w:b/>
          <w:bCs/>
          <w:sz w:val="23"/>
          <w:szCs w:val="23"/>
        </w:rPr>
        <w:t>4. Norēķinu kārtība</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Apmaksa par Precēm tiek veikta </w:t>
      </w:r>
      <w:r w:rsidRPr="005B4164">
        <w:rPr>
          <w:rFonts w:ascii="Times New Roman" w:eastAsia="Times New Roman" w:hAnsi="Times New Roman"/>
          <w:i/>
          <w:iCs/>
          <w:sz w:val="23"/>
          <w:szCs w:val="23"/>
          <w:lang w:eastAsia="lv-LV"/>
        </w:rPr>
        <w:t>euro</w:t>
      </w:r>
      <w:r w:rsidRPr="005B4164">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F02EAA">
        <w:rPr>
          <w:rFonts w:ascii="Times New Roman" w:eastAsia="Times New Roman" w:hAnsi="Times New Roman"/>
          <w:sz w:val="23"/>
          <w:szCs w:val="23"/>
          <w:lang w:eastAsia="lv-LV"/>
        </w:rPr>
        <w:t>u rēķinā norādīto bankas kontu 30 (trīsdesmit</w:t>
      </w:r>
      <w:r w:rsidRPr="005B4164">
        <w:rPr>
          <w:rFonts w:ascii="Times New Roman" w:eastAsia="Times New Roman" w:hAnsi="Times New Roman"/>
          <w:sz w:val="23"/>
          <w:szCs w:val="23"/>
          <w:lang w:eastAsia="lv-LV"/>
        </w:rPr>
        <w:t xml:space="preserve">) </w:t>
      </w:r>
      <w:r w:rsidR="00F02EAA">
        <w:rPr>
          <w:rFonts w:ascii="Times New Roman" w:eastAsia="Times New Roman" w:hAnsi="Times New Roman"/>
          <w:sz w:val="23"/>
          <w:szCs w:val="23"/>
          <w:lang w:eastAsia="lv-LV"/>
        </w:rPr>
        <w:t xml:space="preserve">kalendāro </w:t>
      </w:r>
      <w:r w:rsidRPr="005B4164">
        <w:rPr>
          <w:rFonts w:ascii="Times New Roman" w:eastAsia="Times New Roman" w:hAnsi="Times New Roman"/>
          <w:sz w:val="23"/>
          <w:szCs w:val="23"/>
          <w:lang w:eastAsia="lv-LV"/>
        </w:rPr>
        <w:t>dienu laikā pēc preču rēķina, kurš noformēts atbilstoši Līguma noteikumiem, abpusējas parakstīšanas.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Par Preču apmaksas dienu uzskatāma diena, kad Pasūtītājs pārskaitījis naudu uz Preču rēķinā norādīto Piegādātāja bankas kontu, ko apliecina attiecīgais maksājuma uzdevums.  </w:t>
      </w:r>
    </w:p>
    <w:p w:rsidR="005B4164" w:rsidRPr="005B4164" w:rsidRDefault="005B4164" w:rsidP="005B4164">
      <w:pPr>
        <w:spacing w:after="0" w:line="240" w:lineRule="auto"/>
        <w:ind w:left="720" w:right="-427"/>
        <w:jc w:val="both"/>
        <w:rPr>
          <w:rFonts w:ascii="Times New Roman" w:eastAsia="Times New Roman" w:hAnsi="Times New Roman"/>
          <w:sz w:val="23"/>
          <w:szCs w:val="23"/>
        </w:rPr>
      </w:pPr>
    </w:p>
    <w:p w:rsidR="005B4164" w:rsidRPr="005B4164" w:rsidRDefault="005B4164" w:rsidP="005B4164">
      <w:pPr>
        <w:numPr>
          <w:ilvl w:val="0"/>
          <w:numId w:val="42"/>
        </w:numPr>
        <w:spacing w:after="0" w:line="240" w:lineRule="auto"/>
        <w:ind w:right="-427"/>
        <w:contextualSpacing/>
        <w:jc w:val="center"/>
        <w:rPr>
          <w:rFonts w:ascii="Times New Roman" w:eastAsia="Times New Roman" w:hAnsi="Times New Roman"/>
          <w:b/>
          <w:bCs/>
          <w:sz w:val="23"/>
          <w:szCs w:val="23"/>
          <w:lang w:eastAsia="lv-LV"/>
        </w:rPr>
      </w:pPr>
      <w:r w:rsidRPr="005B4164">
        <w:rPr>
          <w:rFonts w:ascii="Times New Roman" w:eastAsia="Times New Roman" w:hAnsi="Times New Roman"/>
          <w:b/>
          <w:bCs/>
          <w:sz w:val="23"/>
          <w:szCs w:val="23"/>
          <w:lang w:eastAsia="lv-LV"/>
        </w:rPr>
        <w:t>Preču kvalitāte</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Piegādātajām Precēm ir jāatbilst Latvijas Republikas spēkā esošajos normatīvajos aktos noteiktajām prasībām un pilnībā jāatbilst Pielikumā noteiktajām tehniskajām prasībām.</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Precēm jābūt piegādātām iepakojumā, kas nodrošina preču saglabāšanu to pārvadāšanas un glabāšanas laikā, atbilstoši ražotāja noteiktām prasībām un spēkā esošiem normatīvajiem aktiem.</w:t>
      </w:r>
    </w:p>
    <w:p w:rsidR="005B4164" w:rsidRPr="005B4164" w:rsidRDefault="005B4164" w:rsidP="005B4164">
      <w:pPr>
        <w:tabs>
          <w:tab w:val="num" w:pos="420"/>
        </w:tabs>
        <w:spacing w:after="0" w:line="240" w:lineRule="auto"/>
        <w:ind w:right="-427"/>
        <w:rPr>
          <w:rFonts w:ascii="Times New Roman" w:eastAsia="Times New Roman" w:hAnsi="Times New Roman"/>
          <w:b/>
          <w:bCs/>
          <w:sz w:val="23"/>
          <w:szCs w:val="23"/>
        </w:rPr>
      </w:pPr>
    </w:p>
    <w:p w:rsidR="005B4164" w:rsidRPr="005B4164" w:rsidRDefault="005B4164" w:rsidP="005B4164">
      <w:pPr>
        <w:numPr>
          <w:ilvl w:val="0"/>
          <w:numId w:val="42"/>
        </w:numPr>
        <w:tabs>
          <w:tab w:val="clear" w:pos="435"/>
          <w:tab w:val="num" w:pos="420"/>
        </w:tabs>
        <w:spacing w:after="0" w:line="240" w:lineRule="auto"/>
        <w:ind w:right="-427"/>
        <w:contextualSpacing/>
        <w:jc w:val="center"/>
        <w:rPr>
          <w:rFonts w:ascii="Times New Roman" w:eastAsia="Times New Roman" w:hAnsi="Times New Roman"/>
          <w:b/>
          <w:bCs/>
          <w:sz w:val="23"/>
          <w:szCs w:val="23"/>
          <w:lang w:eastAsia="lv-LV"/>
        </w:rPr>
      </w:pPr>
      <w:r w:rsidRPr="005B4164">
        <w:rPr>
          <w:rFonts w:ascii="Times New Roman" w:eastAsia="Times New Roman" w:hAnsi="Times New Roman"/>
          <w:b/>
          <w:bCs/>
          <w:sz w:val="23"/>
          <w:szCs w:val="23"/>
          <w:lang w:eastAsia="lv-LV"/>
        </w:rPr>
        <w:t xml:space="preserve">Līdzēju atbildība </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b/>
          <w:bCs/>
          <w:sz w:val="23"/>
          <w:szCs w:val="23"/>
          <w:lang w:eastAsia="lv-LV"/>
        </w:rPr>
      </w:pPr>
      <w:r w:rsidRPr="005B4164">
        <w:rPr>
          <w:rFonts w:ascii="Times New Roman" w:eastAsia="Times New Roman" w:hAnsi="Times New Roman"/>
          <w:sz w:val="23"/>
          <w:szCs w:val="23"/>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b/>
          <w:bCs/>
          <w:sz w:val="23"/>
          <w:szCs w:val="23"/>
          <w:lang w:eastAsia="lv-LV"/>
        </w:rPr>
      </w:pPr>
      <w:r w:rsidRPr="005B4164">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b/>
          <w:bCs/>
          <w:sz w:val="23"/>
          <w:szCs w:val="23"/>
          <w:lang w:eastAsia="lv-LV"/>
        </w:rPr>
      </w:pPr>
      <w:r w:rsidRPr="005B4164">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b/>
          <w:bCs/>
          <w:sz w:val="23"/>
          <w:szCs w:val="23"/>
          <w:lang w:eastAsia="lv-LV"/>
        </w:rPr>
      </w:pPr>
      <w:r w:rsidRPr="005B4164">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b/>
          <w:bCs/>
          <w:sz w:val="23"/>
          <w:szCs w:val="23"/>
          <w:lang w:eastAsia="lv-LV"/>
        </w:rPr>
      </w:pPr>
      <w:r w:rsidRPr="005B4164">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b/>
          <w:bCs/>
          <w:sz w:val="23"/>
          <w:szCs w:val="23"/>
          <w:lang w:eastAsia="lv-LV"/>
        </w:rPr>
      </w:pPr>
      <w:r w:rsidRPr="005B4164">
        <w:rPr>
          <w:rFonts w:ascii="Times New Roman" w:eastAsia="Times New Roman" w:hAnsi="Times New Roman"/>
          <w:sz w:val="23"/>
          <w:szCs w:val="23"/>
          <w:lang w:eastAsia="lv-LV"/>
        </w:rPr>
        <w:t xml:space="preserve">Līdzēji ir atbildīgi par to darbības / bezdarbības rezultātā otram Līdzējam nodarītajiem tiešajiem zaudējumiem.  </w:t>
      </w:r>
    </w:p>
    <w:p w:rsidR="005B4164" w:rsidRPr="005B4164" w:rsidRDefault="005B4164" w:rsidP="005B4164">
      <w:pPr>
        <w:spacing w:after="0" w:line="240" w:lineRule="auto"/>
        <w:ind w:right="-427"/>
        <w:jc w:val="both"/>
        <w:rPr>
          <w:rFonts w:ascii="Times New Roman" w:eastAsia="Times New Roman" w:hAnsi="Times New Roman"/>
          <w:sz w:val="23"/>
          <w:szCs w:val="23"/>
        </w:rPr>
      </w:pPr>
    </w:p>
    <w:p w:rsidR="005B4164" w:rsidRPr="005B4164" w:rsidRDefault="005B4164" w:rsidP="005B4164">
      <w:pPr>
        <w:numPr>
          <w:ilvl w:val="0"/>
          <w:numId w:val="42"/>
        </w:numPr>
        <w:spacing w:after="0" w:line="240" w:lineRule="auto"/>
        <w:ind w:right="-427"/>
        <w:contextualSpacing/>
        <w:jc w:val="center"/>
        <w:rPr>
          <w:rFonts w:ascii="Times New Roman" w:eastAsia="Times New Roman" w:hAnsi="Times New Roman"/>
          <w:b/>
          <w:sz w:val="23"/>
          <w:szCs w:val="23"/>
          <w:lang w:eastAsia="lv-LV"/>
        </w:rPr>
      </w:pPr>
      <w:r w:rsidRPr="005B4164">
        <w:rPr>
          <w:rFonts w:ascii="Times New Roman" w:eastAsia="Times New Roman" w:hAnsi="Times New Roman"/>
          <w:b/>
          <w:sz w:val="23"/>
          <w:szCs w:val="23"/>
          <w:lang w:eastAsia="lv-LV"/>
        </w:rPr>
        <w:t>Nepārvarama vara</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rsidR="005B4164" w:rsidRPr="005B4164" w:rsidRDefault="005B4164" w:rsidP="005B4164">
      <w:pPr>
        <w:tabs>
          <w:tab w:val="num" w:pos="420"/>
        </w:tabs>
        <w:spacing w:after="0" w:line="240" w:lineRule="auto"/>
        <w:ind w:right="-427"/>
        <w:jc w:val="both"/>
        <w:rPr>
          <w:rFonts w:ascii="Times New Roman" w:eastAsia="Times New Roman" w:hAnsi="Times New Roman"/>
          <w:sz w:val="23"/>
          <w:szCs w:val="23"/>
        </w:rPr>
      </w:pPr>
    </w:p>
    <w:p w:rsidR="005B4164" w:rsidRPr="005B4164" w:rsidRDefault="005B4164" w:rsidP="005B4164">
      <w:pPr>
        <w:numPr>
          <w:ilvl w:val="0"/>
          <w:numId w:val="42"/>
        </w:numPr>
        <w:tabs>
          <w:tab w:val="clear" w:pos="435"/>
          <w:tab w:val="num" w:pos="420"/>
        </w:tabs>
        <w:spacing w:after="0" w:line="240" w:lineRule="auto"/>
        <w:ind w:right="-427"/>
        <w:contextualSpacing/>
        <w:jc w:val="center"/>
        <w:rPr>
          <w:rFonts w:ascii="Times New Roman" w:eastAsia="Times New Roman" w:hAnsi="Times New Roman"/>
          <w:b/>
          <w:bCs/>
          <w:sz w:val="23"/>
          <w:szCs w:val="23"/>
          <w:lang w:eastAsia="lv-LV"/>
        </w:rPr>
      </w:pPr>
      <w:r w:rsidRPr="005B4164">
        <w:rPr>
          <w:rFonts w:ascii="Times New Roman" w:eastAsia="Times New Roman" w:hAnsi="Times New Roman"/>
          <w:b/>
          <w:bCs/>
          <w:sz w:val="23"/>
          <w:szCs w:val="23"/>
          <w:lang w:eastAsia="lv-LV"/>
        </w:rPr>
        <w:t>Līguma darbība</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Līgums stājas spēkā ar Līguma abpusējas parakstīšanas dienu un ir spēkā līdz Līgumā noteikto Līdzēju saistību pilnīgai izpildei.</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Līguma darbības termiņš ir no Līguma spēkā stāšanās dienas līdz īsākajam no šādiem termiņiem:</w:t>
      </w:r>
    </w:p>
    <w:p w:rsidR="005B4164" w:rsidRPr="005B4164" w:rsidRDefault="005B4164" w:rsidP="005B4164">
      <w:pPr>
        <w:numPr>
          <w:ilvl w:val="2"/>
          <w:numId w:val="42"/>
        </w:numPr>
        <w:spacing w:after="0" w:line="240" w:lineRule="auto"/>
        <w:ind w:left="851"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līdz Līguma 2.1.apakšpunktā noteiktās summas izlietojumam;</w:t>
      </w:r>
    </w:p>
    <w:p w:rsidR="005B4164" w:rsidRPr="005B4164" w:rsidRDefault="00F02EAA" w:rsidP="005B4164">
      <w:pPr>
        <w:numPr>
          <w:ilvl w:val="2"/>
          <w:numId w:val="42"/>
        </w:numPr>
        <w:spacing w:after="0" w:line="240" w:lineRule="auto"/>
        <w:ind w:left="851" w:right="-427"/>
        <w:contextualSpacing/>
        <w:jc w:val="both"/>
        <w:rPr>
          <w:rFonts w:ascii="Times New Roman" w:eastAsia="Times New Roman" w:hAnsi="Times New Roman"/>
          <w:sz w:val="23"/>
          <w:szCs w:val="23"/>
          <w:lang w:eastAsia="lv-LV"/>
        </w:rPr>
      </w:pPr>
      <w:r>
        <w:rPr>
          <w:rFonts w:ascii="Times New Roman" w:eastAsia="Times New Roman" w:hAnsi="Times New Roman"/>
          <w:sz w:val="23"/>
          <w:szCs w:val="23"/>
          <w:lang w:eastAsia="lv-LV"/>
        </w:rPr>
        <w:t>24 (divdesmit četri</w:t>
      </w:r>
      <w:r w:rsidR="005B4164" w:rsidRPr="005B4164">
        <w:rPr>
          <w:rFonts w:ascii="Times New Roman" w:eastAsia="Times New Roman" w:hAnsi="Times New Roman"/>
          <w:sz w:val="23"/>
          <w:szCs w:val="23"/>
          <w:lang w:eastAsia="lv-LV"/>
        </w:rPr>
        <w:t>) mēneši no Līguma spēkā stāšanās dienas.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Līgums var tikt izbeigts pirms termiņa:</w:t>
      </w:r>
    </w:p>
    <w:p w:rsidR="005B4164" w:rsidRPr="005B4164" w:rsidRDefault="005B4164" w:rsidP="005B4164">
      <w:pPr>
        <w:numPr>
          <w:ilvl w:val="2"/>
          <w:numId w:val="42"/>
        </w:numPr>
        <w:spacing w:after="0" w:line="240" w:lineRule="auto"/>
        <w:ind w:left="851"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Līdzējiem rakstiski vienojoties;</w:t>
      </w:r>
    </w:p>
    <w:p w:rsidR="005B4164" w:rsidRPr="005B4164" w:rsidRDefault="005B4164" w:rsidP="005B4164">
      <w:pPr>
        <w:numPr>
          <w:ilvl w:val="2"/>
          <w:numId w:val="42"/>
        </w:numPr>
        <w:spacing w:after="0" w:line="240" w:lineRule="auto"/>
        <w:ind w:left="851"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Pēc viena Līdzēja iniciatīvas, iepriekš par to rakstiski brīdinot otru Līdzēju ne vēlāk kā 15 (piecpadsmit) kalendārās dienas iepriekš.</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Līdzējam ir tiesības nekavējoties izbeigt Līgumu, ja: </w:t>
      </w:r>
    </w:p>
    <w:p w:rsidR="005B4164" w:rsidRPr="005B4164" w:rsidRDefault="005B4164" w:rsidP="005B4164">
      <w:pPr>
        <w:numPr>
          <w:ilvl w:val="2"/>
          <w:numId w:val="42"/>
        </w:numPr>
        <w:spacing w:after="0" w:line="240" w:lineRule="auto"/>
        <w:ind w:left="851"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Notikusi Līdzēja labpratīga vai piespiedu likvidācija;</w:t>
      </w:r>
    </w:p>
    <w:p w:rsidR="005B4164" w:rsidRPr="005B4164" w:rsidRDefault="005B4164" w:rsidP="005B4164">
      <w:pPr>
        <w:numPr>
          <w:ilvl w:val="2"/>
          <w:numId w:val="42"/>
        </w:numPr>
        <w:spacing w:after="0" w:line="240" w:lineRule="auto"/>
        <w:ind w:left="851"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Pret Piegādātāju uzsākta maksātnespējas procedūra.</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Pasūtītājam ir tiesības vienpusēji nekavējoties izbeigt Līgumu, ja:</w:t>
      </w:r>
    </w:p>
    <w:p w:rsidR="005B4164" w:rsidRPr="005B4164" w:rsidRDefault="005B4164" w:rsidP="005B4164">
      <w:pPr>
        <w:numPr>
          <w:ilvl w:val="2"/>
          <w:numId w:val="42"/>
        </w:numPr>
        <w:spacing w:after="0" w:line="240" w:lineRule="auto"/>
        <w:ind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Preces lietošana izraisa ārstniecības procesa būtiskas izmaiņas, kas var radīt draudus pacienta veselībai vai dzīvībai;</w:t>
      </w:r>
    </w:p>
    <w:p w:rsidR="005B4164" w:rsidRPr="005B4164" w:rsidRDefault="005B4164" w:rsidP="005B4164">
      <w:pPr>
        <w:numPr>
          <w:ilvl w:val="2"/>
          <w:numId w:val="42"/>
        </w:numPr>
        <w:spacing w:after="0" w:line="240" w:lineRule="auto"/>
        <w:ind w:right="-42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Piegādātājs atkārtoti piegādā Līguma noteikumiem neatbilstošu Preci un tas ir fiksēts Līgumā noteiktajā kārtībā.</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p>
    <w:p w:rsidR="005B4164" w:rsidRPr="005B4164" w:rsidRDefault="005B4164" w:rsidP="005B4164">
      <w:pPr>
        <w:tabs>
          <w:tab w:val="num" w:pos="420"/>
        </w:tabs>
        <w:spacing w:after="0" w:line="240" w:lineRule="auto"/>
        <w:ind w:right="-427"/>
        <w:jc w:val="both"/>
        <w:rPr>
          <w:rFonts w:ascii="Times New Roman" w:eastAsia="Times New Roman" w:hAnsi="Times New Roman"/>
          <w:sz w:val="23"/>
          <w:szCs w:val="23"/>
        </w:rPr>
      </w:pPr>
    </w:p>
    <w:p w:rsidR="005B4164" w:rsidRPr="005B4164" w:rsidRDefault="005B4164" w:rsidP="005B4164">
      <w:pPr>
        <w:numPr>
          <w:ilvl w:val="0"/>
          <w:numId w:val="42"/>
        </w:numPr>
        <w:tabs>
          <w:tab w:val="clear" w:pos="435"/>
          <w:tab w:val="num" w:pos="420"/>
        </w:tabs>
        <w:spacing w:after="0" w:line="240" w:lineRule="auto"/>
        <w:ind w:right="-427"/>
        <w:contextualSpacing/>
        <w:jc w:val="center"/>
        <w:rPr>
          <w:rFonts w:ascii="Times New Roman" w:eastAsia="Times New Roman" w:hAnsi="Times New Roman"/>
          <w:b/>
          <w:bCs/>
          <w:sz w:val="23"/>
          <w:szCs w:val="23"/>
          <w:lang w:eastAsia="lv-LV"/>
        </w:rPr>
      </w:pPr>
      <w:r w:rsidRPr="005B4164">
        <w:rPr>
          <w:rFonts w:ascii="Times New Roman" w:eastAsia="Times New Roman" w:hAnsi="Times New Roman"/>
          <w:b/>
          <w:bCs/>
          <w:sz w:val="23"/>
          <w:szCs w:val="23"/>
          <w:lang w:eastAsia="lv-LV"/>
        </w:rPr>
        <w:t>Strīdu risināšanas kārtība</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 Līguma, kas skar to vai tā pārkāpšanu, izbeigšanu vai spēkā neesamību tiek risināts Līdzēju savstarpējās sarunās.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No Līguma izrietošās saistības ir apspriežamas atbilstoši Latvijas Republikas normatīvajiem aktiem.</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Jautājumi, kas nav atrunāti Līgumā, tiek apspriesti un risināti saskaņā ar Latvijas Republikas normatīvajiem aktiem.</w:t>
      </w:r>
    </w:p>
    <w:p w:rsidR="005B4164" w:rsidRPr="005B4164" w:rsidRDefault="005B4164" w:rsidP="005B4164">
      <w:pPr>
        <w:spacing w:after="0" w:line="240" w:lineRule="auto"/>
        <w:ind w:left="567" w:right="-427"/>
        <w:contextualSpacing/>
        <w:jc w:val="both"/>
        <w:rPr>
          <w:rFonts w:ascii="Times New Roman" w:eastAsia="Times New Roman" w:hAnsi="Times New Roman"/>
          <w:sz w:val="23"/>
          <w:szCs w:val="23"/>
          <w:lang w:eastAsia="lv-LV"/>
        </w:rPr>
      </w:pPr>
    </w:p>
    <w:p w:rsidR="005B4164" w:rsidRPr="005B4164" w:rsidRDefault="005B4164" w:rsidP="005B4164">
      <w:pPr>
        <w:numPr>
          <w:ilvl w:val="0"/>
          <w:numId w:val="42"/>
        </w:numPr>
        <w:tabs>
          <w:tab w:val="clear" w:pos="435"/>
          <w:tab w:val="num" w:pos="420"/>
        </w:tabs>
        <w:spacing w:after="0" w:line="240" w:lineRule="auto"/>
        <w:ind w:right="-427"/>
        <w:contextualSpacing/>
        <w:jc w:val="center"/>
        <w:rPr>
          <w:rFonts w:ascii="Times New Roman" w:eastAsia="Times New Roman" w:hAnsi="Times New Roman"/>
          <w:b/>
          <w:bCs/>
          <w:sz w:val="23"/>
          <w:szCs w:val="23"/>
          <w:lang w:eastAsia="lv-LV"/>
        </w:rPr>
      </w:pPr>
      <w:r w:rsidRPr="005B4164">
        <w:rPr>
          <w:rFonts w:ascii="Times New Roman" w:eastAsia="Times New Roman" w:hAnsi="Times New Roman"/>
          <w:b/>
          <w:bCs/>
          <w:sz w:val="23"/>
          <w:szCs w:val="23"/>
          <w:lang w:eastAsia="lv-LV"/>
        </w:rPr>
        <w:t>Citi noteikumi</w:t>
      </w:r>
    </w:p>
    <w:p w:rsidR="005B4164" w:rsidRPr="005B4164" w:rsidRDefault="005B4164" w:rsidP="005B4164">
      <w:pPr>
        <w:numPr>
          <w:ilvl w:val="1"/>
          <w:numId w:val="42"/>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Grozījumi Līgumā ir izdarāmi rakstveidā un stājas spēkā pēc abu Pušu parakstīšanas.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lastRenderedPageBreak/>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rsidR="005B4164" w:rsidRPr="005B4164" w:rsidRDefault="005B4164"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B4164" w:rsidRPr="005B4164" w:rsidRDefault="00F02EAA" w:rsidP="005B4164">
      <w:pPr>
        <w:numPr>
          <w:ilvl w:val="1"/>
          <w:numId w:val="42"/>
        </w:numPr>
        <w:spacing w:after="0" w:line="240" w:lineRule="auto"/>
        <w:ind w:left="567" w:right="-427" w:hanging="567"/>
        <w:contextualSpacing/>
        <w:jc w:val="both"/>
        <w:rPr>
          <w:rFonts w:ascii="Times New Roman" w:eastAsia="Times New Roman" w:hAnsi="Times New Roman"/>
          <w:sz w:val="23"/>
          <w:szCs w:val="23"/>
          <w:lang w:eastAsia="lv-LV"/>
        </w:rPr>
      </w:pPr>
      <w:r>
        <w:rPr>
          <w:rFonts w:ascii="Times New Roman" w:eastAsia="Times New Roman" w:hAnsi="Times New Roman"/>
          <w:snapToGrid w:val="0"/>
          <w:sz w:val="23"/>
          <w:szCs w:val="23"/>
          <w:lang w:eastAsia="lv-LV"/>
        </w:rPr>
        <w:t>Līgums sagatavots uz __ (_____</w:t>
      </w:r>
      <w:r w:rsidR="005B4164"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005B4164" w:rsidRPr="005B4164">
        <w:rPr>
          <w:rFonts w:ascii="Times New Roman" w:eastAsia="Times New Roman" w:hAnsi="Times New Roman"/>
          <w:snapToGrid w:val="0"/>
          <w:sz w:val="23"/>
          <w:szCs w:val="23"/>
          <w:lang w:eastAsia="lv-LV"/>
        </w:rPr>
        <w:t>) eksemplāros latviešu valodā, kuriem ir vienāds juridiskais spēks, no kuriem 1 (viens) eksemplārs – Piegādātājam, bet 1 (viens) eksemplārs - Pasūtītajam.</w:t>
      </w:r>
    </w:p>
    <w:p w:rsidR="005B4164" w:rsidRPr="005B4164" w:rsidRDefault="005B4164" w:rsidP="005B4164">
      <w:pPr>
        <w:numPr>
          <w:ilvl w:val="1"/>
          <w:numId w:val="43"/>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Līgumam tā noslēgšanas brīdī tiek pievienoti šādi pielikumi, kas ir neatņemamas tā sastāvdaļas: </w:t>
      </w:r>
    </w:p>
    <w:p w:rsidR="005B4164" w:rsidRPr="005B4164" w:rsidRDefault="005B4164" w:rsidP="005B4164">
      <w:pPr>
        <w:numPr>
          <w:ilvl w:val="2"/>
          <w:numId w:val="43"/>
        </w:numPr>
        <w:spacing w:after="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1.pielikums – tehniskais piedāvājums uz 1 (vienas) lapas;</w:t>
      </w:r>
    </w:p>
    <w:p w:rsidR="005B4164" w:rsidRPr="005B4164" w:rsidRDefault="005B4164" w:rsidP="005B4164">
      <w:pPr>
        <w:numPr>
          <w:ilvl w:val="2"/>
          <w:numId w:val="43"/>
        </w:numPr>
        <w:spacing w:after="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2.pielikums – finanšu piedāvājums uz 1 (vienas) lapas.</w:t>
      </w:r>
    </w:p>
    <w:p w:rsidR="005B4164" w:rsidRPr="005B4164" w:rsidRDefault="005B4164" w:rsidP="005B4164">
      <w:pPr>
        <w:tabs>
          <w:tab w:val="num" w:pos="420"/>
        </w:tabs>
        <w:spacing w:after="0" w:line="240" w:lineRule="auto"/>
        <w:ind w:right="-427"/>
        <w:jc w:val="both"/>
        <w:rPr>
          <w:rFonts w:ascii="Times New Roman" w:eastAsia="Times New Roman" w:hAnsi="Times New Roman"/>
          <w:sz w:val="23"/>
          <w:szCs w:val="23"/>
        </w:rPr>
      </w:pPr>
    </w:p>
    <w:p w:rsidR="005B4164" w:rsidRPr="005B4164" w:rsidRDefault="005B4164" w:rsidP="005B4164">
      <w:pPr>
        <w:spacing w:after="120" w:line="240" w:lineRule="auto"/>
        <w:ind w:right="-427"/>
        <w:jc w:val="center"/>
        <w:rPr>
          <w:rFonts w:ascii="Times New Roman" w:eastAsia="Times New Roman" w:hAnsi="Times New Roman"/>
          <w:b/>
          <w:bCs/>
          <w:caps/>
          <w:sz w:val="23"/>
          <w:szCs w:val="23"/>
        </w:rPr>
      </w:pPr>
      <w:r w:rsidRPr="005B4164">
        <w:rPr>
          <w:rFonts w:ascii="Times New Roman" w:eastAsia="Times New Roman" w:hAnsi="Times New Roman"/>
          <w:b/>
          <w:bCs/>
          <w:sz w:val="23"/>
          <w:szCs w:val="23"/>
        </w:rPr>
        <w:t>11. Līdzēju rekvizīti un paraksti</w:t>
      </w:r>
    </w:p>
    <w:tbl>
      <w:tblPr>
        <w:tblW w:w="0" w:type="auto"/>
        <w:tblLook w:val="01E0" w:firstRow="1" w:lastRow="1" w:firstColumn="1" w:lastColumn="1" w:noHBand="0" w:noVBand="0"/>
      </w:tblPr>
      <w:tblGrid>
        <w:gridCol w:w="4291"/>
        <w:gridCol w:w="4484"/>
      </w:tblGrid>
      <w:tr w:rsidR="005B4164" w:rsidRPr="005B4164" w:rsidTr="00B13E42">
        <w:trPr>
          <w:trHeight w:val="80"/>
        </w:trPr>
        <w:tc>
          <w:tcPr>
            <w:tcW w:w="4291" w:type="dxa"/>
          </w:tcPr>
          <w:p w:rsidR="005B4164" w:rsidRPr="005B4164" w:rsidRDefault="005B4164" w:rsidP="005B4164">
            <w:pPr>
              <w:spacing w:after="0" w:line="240" w:lineRule="auto"/>
              <w:ind w:right="-427"/>
              <w:jc w:val="both"/>
              <w:rPr>
                <w:rFonts w:ascii="Times New Roman" w:hAnsi="Times New Roman"/>
                <w:b/>
                <w:sz w:val="23"/>
                <w:szCs w:val="23"/>
                <w:u w:val="single"/>
              </w:rPr>
            </w:pPr>
            <w:r w:rsidRPr="005B4164">
              <w:rPr>
                <w:rFonts w:ascii="Times New Roman" w:hAnsi="Times New Roman"/>
                <w:b/>
                <w:sz w:val="23"/>
                <w:szCs w:val="23"/>
                <w:u w:val="single"/>
              </w:rPr>
              <w:t>Pasūtītājs:</w:t>
            </w:r>
          </w:p>
          <w:p w:rsidR="005B4164" w:rsidRPr="005B4164" w:rsidRDefault="005B4164" w:rsidP="005B4164">
            <w:pPr>
              <w:spacing w:after="0" w:line="240" w:lineRule="auto"/>
              <w:ind w:right="-427"/>
              <w:jc w:val="both"/>
              <w:rPr>
                <w:rFonts w:ascii="Times New Roman" w:hAnsi="Times New Roman"/>
                <w:b/>
                <w:sz w:val="23"/>
                <w:szCs w:val="23"/>
              </w:rPr>
            </w:pPr>
            <w:r w:rsidRPr="005B4164">
              <w:rPr>
                <w:rFonts w:ascii="Times New Roman" w:hAnsi="Times New Roman"/>
                <w:b/>
                <w:sz w:val="23"/>
                <w:szCs w:val="23"/>
              </w:rPr>
              <w:t>VSIA “Paula Stradiņa klīniskās</w:t>
            </w:r>
          </w:p>
          <w:p w:rsidR="005B4164" w:rsidRPr="005B4164" w:rsidRDefault="005B4164" w:rsidP="005B4164">
            <w:pPr>
              <w:spacing w:after="0" w:line="240" w:lineRule="auto"/>
              <w:ind w:right="-427"/>
              <w:jc w:val="both"/>
              <w:rPr>
                <w:rFonts w:ascii="Times New Roman" w:hAnsi="Times New Roman"/>
                <w:b/>
                <w:sz w:val="23"/>
                <w:szCs w:val="23"/>
              </w:rPr>
            </w:pPr>
            <w:r w:rsidRPr="005B4164">
              <w:rPr>
                <w:rFonts w:ascii="Times New Roman" w:hAnsi="Times New Roman"/>
                <w:b/>
                <w:sz w:val="23"/>
                <w:szCs w:val="23"/>
              </w:rPr>
              <w:t>universitātes slimnīca”</w:t>
            </w:r>
          </w:p>
          <w:p w:rsidR="005B4164" w:rsidRPr="005B4164" w:rsidRDefault="005B4164" w:rsidP="005B4164">
            <w:pPr>
              <w:spacing w:after="0" w:line="240" w:lineRule="auto"/>
              <w:ind w:right="-427"/>
              <w:jc w:val="both"/>
              <w:rPr>
                <w:rFonts w:ascii="Times New Roman" w:hAnsi="Times New Roman"/>
                <w:sz w:val="23"/>
                <w:szCs w:val="23"/>
              </w:rPr>
            </w:pPr>
            <w:r w:rsidRPr="005B4164">
              <w:rPr>
                <w:rFonts w:ascii="Times New Roman" w:hAnsi="Times New Roman"/>
                <w:sz w:val="23"/>
                <w:szCs w:val="23"/>
              </w:rPr>
              <w:t>Reģ. Nr. 40003457109</w:t>
            </w:r>
          </w:p>
          <w:p w:rsidR="005B4164" w:rsidRPr="005B4164" w:rsidRDefault="005B4164" w:rsidP="005B4164">
            <w:pPr>
              <w:spacing w:after="0" w:line="240" w:lineRule="auto"/>
              <w:ind w:right="-427"/>
              <w:jc w:val="both"/>
              <w:rPr>
                <w:rFonts w:ascii="Times New Roman" w:hAnsi="Times New Roman"/>
                <w:sz w:val="23"/>
                <w:szCs w:val="23"/>
              </w:rPr>
            </w:pPr>
            <w:r w:rsidRPr="005B4164">
              <w:rPr>
                <w:rFonts w:ascii="Times New Roman" w:hAnsi="Times New Roman"/>
                <w:sz w:val="23"/>
                <w:szCs w:val="23"/>
              </w:rPr>
              <w:t>Pilsoņu iela 13, Rīga, LV - 1002</w:t>
            </w:r>
          </w:p>
          <w:p w:rsidR="005B4164" w:rsidRPr="005B4164" w:rsidRDefault="005B4164" w:rsidP="005B4164">
            <w:pPr>
              <w:spacing w:after="0" w:line="240" w:lineRule="auto"/>
              <w:ind w:right="-427"/>
              <w:jc w:val="both"/>
              <w:rPr>
                <w:rFonts w:ascii="Times New Roman" w:hAnsi="Times New Roman"/>
                <w:sz w:val="23"/>
                <w:szCs w:val="23"/>
              </w:rPr>
            </w:pPr>
            <w:r w:rsidRPr="005B4164">
              <w:rPr>
                <w:rFonts w:ascii="Times New Roman" w:hAnsi="Times New Roman"/>
                <w:sz w:val="23"/>
                <w:szCs w:val="23"/>
              </w:rPr>
              <w:t>Konta Nr.LV93UNLA0003029467144</w:t>
            </w:r>
          </w:p>
          <w:p w:rsidR="005B4164" w:rsidRPr="005B4164" w:rsidRDefault="005B4164" w:rsidP="005B4164">
            <w:pPr>
              <w:spacing w:after="0" w:line="240" w:lineRule="auto"/>
              <w:ind w:right="-427"/>
              <w:jc w:val="both"/>
              <w:rPr>
                <w:rFonts w:ascii="Times New Roman" w:hAnsi="Times New Roman"/>
                <w:sz w:val="23"/>
                <w:szCs w:val="23"/>
              </w:rPr>
            </w:pPr>
            <w:r w:rsidRPr="005B4164">
              <w:rPr>
                <w:rFonts w:ascii="Times New Roman" w:hAnsi="Times New Roman"/>
                <w:sz w:val="23"/>
                <w:szCs w:val="23"/>
              </w:rPr>
              <w:t xml:space="preserve">Banka: AS “SEB banka” </w:t>
            </w:r>
          </w:p>
          <w:p w:rsidR="005B4164" w:rsidRPr="005B4164" w:rsidRDefault="005B4164" w:rsidP="005B4164">
            <w:pPr>
              <w:spacing w:after="0" w:line="240" w:lineRule="auto"/>
              <w:ind w:right="-427"/>
              <w:jc w:val="both"/>
              <w:rPr>
                <w:rFonts w:ascii="Times New Roman" w:hAnsi="Times New Roman"/>
                <w:sz w:val="23"/>
                <w:szCs w:val="23"/>
              </w:rPr>
            </w:pPr>
            <w:r w:rsidRPr="005B4164">
              <w:rPr>
                <w:rFonts w:ascii="Times New Roman" w:hAnsi="Times New Roman"/>
                <w:sz w:val="23"/>
                <w:szCs w:val="23"/>
              </w:rPr>
              <w:t>Kods: UNLALV2X</w:t>
            </w:r>
          </w:p>
          <w:p w:rsidR="005B4164" w:rsidRPr="005B4164" w:rsidRDefault="005B4164" w:rsidP="005B4164">
            <w:pPr>
              <w:spacing w:after="0" w:line="240" w:lineRule="auto"/>
              <w:ind w:right="-427"/>
              <w:jc w:val="both"/>
              <w:rPr>
                <w:rFonts w:ascii="Times New Roman" w:hAnsi="Times New Roman"/>
                <w:sz w:val="23"/>
                <w:szCs w:val="23"/>
              </w:rPr>
            </w:pPr>
          </w:p>
          <w:p w:rsidR="005B4164" w:rsidRPr="005B4164" w:rsidRDefault="005B4164" w:rsidP="005B4164">
            <w:pPr>
              <w:spacing w:after="0" w:line="240" w:lineRule="auto"/>
              <w:ind w:right="-427"/>
              <w:jc w:val="both"/>
              <w:rPr>
                <w:rFonts w:ascii="Times New Roman" w:hAnsi="Times New Roman"/>
                <w:sz w:val="23"/>
                <w:szCs w:val="23"/>
              </w:rPr>
            </w:pPr>
          </w:p>
          <w:p w:rsidR="005B4164" w:rsidRPr="005B4164" w:rsidRDefault="005B4164" w:rsidP="005B4164">
            <w:pPr>
              <w:spacing w:after="0" w:line="240" w:lineRule="auto"/>
              <w:ind w:right="-427"/>
              <w:jc w:val="both"/>
              <w:rPr>
                <w:rFonts w:ascii="Times New Roman" w:hAnsi="Times New Roman"/>
                <w:sz w:val="23"/>
                <w:szCs w:val="23"/>
              </w:rPr>
            </w:pPr>
          </w:p>
          <w:p w:rsidR="005B4164" w:rsidRPr="005B4164" w:rsidRDefault="005B4164" w:rsidP="005B4164">
            <w:pPr>
              <w:spacing w:after="0" w:line="240" w:lineRule="auto"/>
              <w:ind w:right="-427"/>
              <w:jc w:val="both"/>
              <w:rPr>
                <w:rFonts w:ascii="Times New Roman" w:hAnsi="Times New Roman"/>
                <w:sz w:val="23"/>
                <w:szCs w:val="23"/>
              </w:rPr>
            </w:pPr>
          </w:p>
          <w:p w:rsidR="005B4164" w:rsidRPr="005B4164" w:rsidRDefault="005B4164" w:rsidP="005B4164">
            <w:pPr>
              <w:spacing w:after="0" w:line="240" w:lineRule="auto"/>
              <w:ind w:right="-427"/>
              <w:jc w:val="both"/>
              <w:rPr>
                <w:rFonts w:ascii="Times New Roman" w:hAnsi="Times New Roman"/>
                <w:sz w:val="23"/>
                <w:szCs w:val="23"/>
              </w:rPr>
            </w:pPr>
            <w:r>
              <w:rPr>
                <w:rFonts w:ascii="Times New Roman" w:hAnsi="Times New Roman"/>
                <w:sz w:val="23"/>
                <w:szCs w:val="23"/>
              </w:rPr>
              <w:t>_______________________/______</w:t>
            </w:r>
            <w:r w:rsidRPr="005B4164">
              <w:rPr>
                <w:rFonts w:ascii="Times New Roman" w:hAnsi="Times New Roman"/>
                <w:sz w:val="23"/>
                <w:szCs w:val="23"/>
              </w:rPr>
              <w:t>/</w:t>
            </w:r>
          </w:p>
          <w:p w:rsidR="005B4164" w:rsidRPr="005B4164" w:rsidRDefault="005B4164" w:rsidP="005B4164">
            <w:pPr>
              <w:spacing w:after="0" w:line="240" w:lineRule="auto"/>
              <w:ind w:right="-427"/>
              <w:jc w:val="both"/>
              <w:rPr>
                <w:rFonts w:ascii="Times New Roman" w:hAnsi="Times New Roman"/>
                <w:sz w:val="23"/>
                <w:szCs w:val="23"/>
              </w:rPr>
            </w:pPr>
          </w:p>
          <w:p w:rsidR="005B4164" w:rsidRPr="005B4164" w:rsidRDefault="005B4164" w:rsidP="005B4164">
            <w:pPr>
              <w:spacing w:after="0" w:line="240" w:lineRule="auto"/>
              <w:ind w:right="-427"/>
              <w:jc w:val="both"/>
              <w:rPr>
                <w:rFonts w:ascii="Times New Roman" w:hAnsi="Times New Roman"/>
                <w:sz w:val="23"/>
                <w:szCs w:val="23"/>
              </w:rPr>
            </w:pPr>
          </w:p>
          <w:p w:rsidR="005B4164" w:rsidRPr="005B4164" w:rsidRDefault="005B4164" w:rsidP="005B4164">
            <w:pPr>
              <w:spacing w:after="0" w:line="240" w:lineRule="auto"/>
              <w:ind w:right="-427"/>
              <w:jc w:val="both"/>
              <w:rPr>
                <w:rFonts w:ascii="Times New Roman" w:hAnsi="Times New Roman"/>
                <w:sz w:val="23"/>
                <w:szCs w:val="23"/>
              </w:rPr>
            </w:pPr>
            <w:r>
              <w:rPr>
                <w:rFonts w:ascii="Times New Roman" w:hAnsi="Times New Roman"/>
                <w:sz w:val="23"/>
                <w:szCs w:val="23"/>
              </w:rPr>
              <w:t>_______________________/______</w:t>
            </w:r>
            <w:r w:rsidRPr="005B4164">
              <w:rPr>
                <w:rFonts w:ascii="Times New Roman" w:hAnsi="Times New Roman"/>
                <w:sz w:val="23"/>
                <w:szCs w:val="23"/>
              </w:rPr>
              <w:t>/</w:t>
            </w:r>
          </w:p>
          <w:p w:rsidR="005B4164" w:rsidRPr="005B4164" w:rsidRDefault="005B4164" w:rsidP="005B4164">
            <w:pPr>
              <w:spacing w:after="0" w:line="240" w:lineRule="auto"/>
              <w:ind w:right="-427"/>
              <w:jc w:val="both"/>
              <w:rPr>
                <w:rFonts w:ascii="Times New Roman" w:hAnsi="Times New Roman"/>
                <w:sz w:val="23"/>
                <w:szCs w:val="23"/>
              </w:rPr>
            </w:pPr>
          </w:p>
        </w:tc>
        <w:tc>
          <w:tcPr>
            <w:tcW w:w="4291" w:type="dxa"/>
          </w:tcPr>
          <w:p w:rsidR="005B4164" w:rsidRPr="005B4164" w:rsidRDefault="005B4164" w:rsidP="005B4164">
            <w:pPr>
              <w:spacing w:after="0" w:line="240" w:lineRule="auto"/>
              <w:ind w:right="-427"/>
              <w:jc w:val="both"/>
              <w:rPr>
                <w:rFonts w:ascii="Times New Roman" w:eastAsia="Times New Roman" w:hAnsi="Times New Roman"/>
                <w:b/>
                <w:sz w:val="23"/>
                <w:szCs w:val="23"/>
                <w:lang w:eastAsia="x-none"/>
              </w:rPr>
            </w:pPr>
            <w:r w:rsidRPr="005B4164">
              <w:rPr>
                <w:rFonts w:ascii="Times New Roman" w:eastAsia="Times New Roman" w:hAnsi="Times New Roman"/>
                <w:b/>
                <w:sz w:val="23"/>
                <w:szCs w:val="23"/>
                <w:u w:val="single"/>
                <w:lang w:eastAsia="x-none"/>
              </w:rPr>
              <w:t>Piegādātājs:</w:t>
            </w:r>
          </w:p>
          <w:p w:rsidR="005B4164" w:rsidRPr="005B4164" w:rsidRDefault="00F02EAA" w:rsidP="005B4164">
            <w:pPr>
              <w:spacing w:after="0" w:line="240" w:lineRule="auto"/>
              <w:ind w:right="-427"/>
              <w:jc w:val="both"/>
              <w:rPr>
                <w:rFonts w:ascii="Times New Roman" w:eastAsia="Times New Roman" w:hAnsi="Times New Roman"/>
                <w:b/>
                <w:sz w:val="23"/>
                <w:szCs w:val="23"/>
                <w:lang w:eastAsia="x-none"/>
              </w:rPr>
            </w:pPr>
            <w:r>
              <w:rPr>
                <w:rFonts w:ascii="Times New Roman" w:eastAsia="Times New Roman" w:hAnsi="Times New Roman"/>
                <w:b/>
                <w:sz w:val="23"/>
                <w:szCs w:val="23"/>
                <w:lang w:eastAsia="x-none"/>
              </w:rPr>
              <w:t>__________________</w:t>
            </w:r>
          </w:p>
          <w:p w:rsidR="00F02EAA" w:rsidRDefault="00F02EAA" w:rsidP="005B4164">
            <w:pPr>
              <w:spacing w:after="0" w:line="240" w:lineRule="auto"/>
              <w:ind w:right="-427"/>
              <w:jc w:val="both"/>
              <w:rPr>
                <w:rFonts w:ascii="Times New Roman" w:eastAsia="Times New Roman" w:hAnsi="Times New Roman"/>
                <w:sz w:val="23"/>
                <w:szCs w:val="23"/>
                <w:lang w:eastAsia="x-none"/>
              </w:rPr>
            </w:pP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r w:rsidRPr="005B4164">
              <w:rPr>
                <w:rFonts w:ascii="Times New Roman" w:eastAsia="Times New Roman" w:hAnsi="Times New Roman"/>
                <w:sz w:val="23"/>
                <w:szCs w:val="23"/>
                <w:lang w:eastAsia="x-none"/>
              </w:rPr>
              <w:t>Reģ. Nr.:</w:t>
            </w:r>
            <w:r w:rsidR="00F02EAA">
              <w:rPr>
                <w:rFonts w:ascii="Times New Roman" w:eastAsia="Times New Roman" w:hAnsi="Times New Roman"/>
                <w:sz w:val="23"/>
                <w:szCs w:val="23"/>
                <w:lang w:eastAsia="x-none"/>
              </w:rPr>
              <w:t xml:space="preserve"> _______________</w:t>
            </w:r>
          </w:p>
          <w:p w:rsidR="005B4164" w:rsidRPr="005B4164" w:rsidRDefault="00F02EAA" w:rsidP="005B4164">
            <w:pPr>
              <w:spacing w:after="0" w:line="240" w:lineRule="auto"/>
              <w:ind w:right="-427"/>
              <w:jc w:val="both"/>
              <w:rPr>
                <w:rFonts w:ascii="Times New Roman" w:eastAsia="Times New Roman" w:hAnsi="Times New Roman"/>
                <w:sz w:val="23"/>
                <w:szCs w:val="23"/>
                <w:lang w:eastAsia="x-none"/>
              </w:rPr>
            </w:pPr>
            <w:r>
              <w:rPr>
                <w:rFonts w:ascii="Times New Roman" w:eastAsia="Times New Roman" w:hAnsi="Times New Roman"/>
                <w:sz w:val="23"/>
                <w:szCs w:val="23"/>
                <w:lang w:eastAsia="x-none"/>
              </w:rPr>
              <w:t>_______________________</w:t>
            </w: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r w:rsidRPr="005B4164">
              <w:rPr>
                <w:rFonts w:ascii="Times New Roman" w:eastAsia="Times New Roman" w:hAnsi="Times New Roman"/>
                <w:sz w:val="23"/>
                <w:szCs w:val="23"/>
                <w:lang w:eastAsia="x-none"/>
              </w:rPr>
              <w:t>Konta Nr.</w:t>
            </w:r>
            <w:r w:rsidR="00F02EAA">
              <w:rPr>
                <w:rFonts w:ascii="Times New Roman" w:eastAsia="Times New Roman" w:hAnsi="Times New Roman"/>
                <w:sz w:val="23"/>
                <w:szCs w:val="23"/>
                <w:lang w:eastAsia="x-none"/>
              </w:rPr>
              <w:t xml:space="preserve"> _______________</w:t>
            </w: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r w:rsidRPr="005B4164">
              <w:rPr>
                <w:rFonts w:ascii="Times New Roman" w:eastAsia="Times New Roman" w:hAnsi="Times New Roman"/>
                <w:sz w:val="23"/>
                <w:szCs w:val="23"/>
                <w:lang w:eastAsia="x-none"/>
              </w:rPr>
              <w:t xml:space="preserve">Banka: </w:t>
            </w:r>
            <w:r w:rsidR="00F02EAA">
              <w:rPr>
                <w:rFonts w:ascii="Times New Roman" w:eastAsia="Times New Roman" w:hAnsi="Times New Roman"/>
                <w:sz w:val="23"/>
                <w:szCs w:val="23"/>
                <w:lang w:eastAsia="x-none"/>
              </w:rPr>
              <w:t>_________________</w:t>
            </w:r>
            <w:r w:rsidRPr="005B4164">
              <w:rPr>
                <w:rFonts w:ascii="Times New Roman" w:eastAsia="Times New Roman" w:hAnsi="Times New Roman"/>
                <w:sz w:val="23"/>
                <w:szCs w:val="23"/>
                <w:lang w:eastAsia="x-none"/>
              </w:rPr>
              <w:t xml:space="preserve"> </w:t>
            </w: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r w:rsidRPr="005B4164">
              <w:rPr>
                <w:rFonts w:ascii="Times New Roman" w:eastAsia="Times New Roman" w:hAnsi="Times New Roman"/>
                <w:sz w:val="23"/>
                <w:szCs w:val="23"/>
                <w:lang w:eastAsia="x-none"/>
              </w:rPr>
              <w:t xml:space="preserve">Kods: </w:t>
            </w:r>
            <w:r w:rsidR="00F02EAA">
              <w:rPr>
                <w:rFonts w:ascii="Times New Roman" w:eastAsia="Times New Roman" w:hAnsi="Times New Roman"/>
                <w:sz w:val="23"/>
                <w:szCs w:val="23"/>
                <w:lang w:eastAsia="x-none"/>
              </w:rPr>
              <w:t>___________________</w:t>
            </w:r>
            <w:r w:rsidRPr="005B4164">
              <w:rPr>
                <w:rFonts w:ascii="Times New Roman" w:eastAsia="Times New Roman" w:hAnsi="Times New Roman"/>
                <w:sz w:val="23"/>
                <w:szCs w:val="23"/>
                <w:lang w:eastAsia="x-none"/>
              </w:rPr>
              <w:t xml:space="preserve"> </w:t>
            </w: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r w:rsidRPr="005B4164">
              <w:rPr>
                <w:rFonts w:ascii="Times New Roman" w:eastAsia="Times New Roman" w:hAnsi="Times New Roman"/>
                <w:sz w:val="23"/>
                <w:szCs w:val="23"/>
                <w:lang w:eastAsia="x-none"/>
              </w:rPr>
              <w:t>__</w:t>
            </w:r>
            <w:r w:rsidR="00F02EAA">
              <w:rPr>
                <w:rFonts w:ascii="Times New Roman" w:eastAsia="Times New Roman" w:hAnsi="Times New Roman"/>
                <w:sz w:val="23"/>
                <w:szCs w:val="23"/>
                <w:lang w:eastAsia="x-none"/>
              </w:rPr>
              <w:t>_______________________/___________</w:t>
            </w:r>
            <w:r w:rsidRPr="005B4164">
              <w:rPr>
                <w:rFonts w:ascii="Times New Roman" w:eastAsia="Times New Roman" w:hAnsi="Times New Roman"/>
                <w:sz w:val="23"/>
                <w:szCs w:val="23"/>
                <w:lang w:eastAsia="x-none"/>
              </w:rPr>
              <w:t>/</w:t>
            </w:r>
          </w:p>
          <w:p w:rsidR="005B4164" w:rsidRPr="005B4164" w:rsidRDefault="005B4164" w:rsidP="005B4164">
            <w:pPr>
              <w:spacing w:after="0" w:line="240" w:lineRule="auto"/>
              <w:ind w:right="-427"/>
              <w:jc w:val="both"/>
              <w:rPr>
                <w:rFonts w:ascii="Times New Roman" w:eastAsia="Times New Roman" w:hAnsi="Times New Roman"/>
                <w:sz w:val="23"/>
                <w:szCs w:val="23"/>
                <w:lang w:eastAsia="x-none"/>
              </w:rPr>
            </w:pPr>
          </w:p>
        </w:tc>
      </w:tr>
    </w:tbl>
    <w:p w:rsidR="007E14FE" w:rsidRDefault="007E14FE" w:rsidP="009D7916">
      <w:pPr>
        <w:spacing w:after="0" w:line="240" w:lineRule="auto"/>
        <w:jc w:val="center"/>
        <w:rPr>
          <w:rFonts w:ascii="Times New Roman" w:eastAsia="Times New Roman" w:hAnsi="Times New Roman"/>
          <w:bCs/>
          <w:i/>
          <w:sz w:val="20"/>
          <w:szCs w:val="20"/>
          <w:lang w:eastAsia="lv-LV"/>
        </w:rPr>
      </w:pPr>
    </w:p>
    <w:p w:rsidR="00546475" w:rsidRDefault="00546475" w:rsidP="009D7916">
      <w:pPr>
        <w:spacing w:after="0" w:line="240" w:lineRule="auto"/>
        <w:jc w:val="center"/>
        <w:rPr>
          <w:rFonts w:ascii="Times New Roman" w:eastAsia="Times New Roman" w:hAnsi="Times New Roman"/>
          <w:bCs/>
          <w:i/>
          <w:sz w:val="20"/>
          <w:szCs w:val="20"/>
          <w:lang w:eastAsia="lv-LV"/>
        </w:rPr>
      </w:pPr>
    </w:p>
    <w:p w:rsidR="00546475" w:rsidRDefault="00546475" w:rsidP="009D7916">
      <w:pPr>
        <w:spacing w:after="0" w:line="240" w:lineRule="auto"/>
        <w:jc w:val="center"/>
        <w:rPr>
          <w:rFonts w:ascii="Times New Roman" w:eastAsia="Times New Roman" w:hAnsi="Times New Roman"/>
          <w:bCs/>
          <w:i/>
          <w:sz w:val="20"/>
          <w:szCs w:val="20"/>
          <w:lang w:eastAsia="lv-LV"/>
        </w:rPr>
      </w:pPr>
    </w:p>
    <w:p w:rsidR="00546475" w:rsidRDefault="00546475" w:rsidP="009D7916">
      <w:pPr>
        <w:spacing w:after="0" w:line="240" w:lineRule="auto"/>
        <w:jc w:val="center"/>
        <w:rPr>
          <w:rFonts w:ascii="Times New Roman" w:eastAsia="Times New Roman" w:hAnsi="Times New Roman"/>
          <w:bCs/>
          <w:i/>
          <w:sz w:val="20"/>
          <w:szCs w:val="20"/>
          <w:lang w:eastAsia="lv-LV"/>
        </w:rPr>
      </w:pPr>
    </w:p>
    <w:p w:rsidR="00546475" w:rsidRDefault="00546475" w:rsidP="009D7916">
      <w:pPr>
        <w:spacing w:after="0" w:line="240" w:lineRule="auto"/>
        <w:jc w:val="center"/>
        <w:rPr>
          <w:rFonts w:ascii="Times New Roman" w:eastAsia="Times New Roman" w:hAnsi="Times New Roman"/>
          <w:bCs/>
          <w:i/>
          <w:sz w:val="20"/>
          <w:szCs w:val="20"/>
          <w:lang w:eastAsia="lv-LV"/>
        </w:rPr>
      </w:pPr>
    </w:p>
    <w:p w:rsidR="00546475" w:rsidRDefault="00546475"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Default="007E14FE" w:rsidP="009D7916">
      <w:pPr>
        <w:spacing w:after="0" w:line="240" w:lineRule="auto"/>
        <w:jc w:val="center"/>
        <w:rPr>
          <w:rFonts w:ascii="Times New Roman" w:eastAsia="Times New Roman" w:hAnsi="Times New Roman"/>
          <w:bCs/>
          <w:i/>
          <w:sz w:val="20"/>
          <w:szCs w:val="20"/>
          <w:lang w:eastAsia="lv-LV"/>
        </w:rPr>
      </w:pPr>
    </w:p>
    <w:sectPr w:rsidR="007E14FE" w:rsidSect="004B27A7">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5E" w:rsidRDefault="00A9265E" w:rsidP="00362DCB">
      <w:pPr>
        <w:spacing w:after="0" w:line="240" w:lineRule="auto"/>
      </w:pPr>
      <w:r>
        <w:separator/>
      </w:r>
    </w:p>
  </w:endnote>
  <w:endnote w:type="continuationSeparator" w:id="0">
    <w:p w:rsidR="00A9265E" w:rsidRDefault="00A9265E"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76" w:rsidRDefault="002D0F76"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F76" w:rsidRDefault="002D0F76"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76" w:rsidRPr="00DD5BCF" w:rsidRDefault="002D0F76"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2D0F76" w:rsidRPr="00DD5BCF" w:rsidRDefault="002D0F76"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76" w:rsidRPr="003C2D8B" w:rsidRDefault="002D0F76">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3F7160">
      <w:rPr>
        <w:noProof/>
        <w:sz w:val="20"/>
        <w:szCs w:val="20"/>
      </w:rPr>
      <w:t>16</w:t>
    </w:r>
    <w:r w:rsidRPr="003C2D8B">
      <w:rPr>
        <w:sz w:val="20"/>
        <w:szCs w:val="20"/>
      </w:rPr>
      <w:fldChar w:fldCharType="end"/>
    </w:r>
  </w:p>
  <w:p w:rsidR="002D0F76" w:rsidRDefault="002D0F76"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5E" w:rsidRDefault="00A9265E" w:rsidP="00362DCB">
      <w:pPr>
        <w:spacing w:after="0" w:line="240" w:lineRule="auto"/>
      </w:pPr>
      <w:r>
        <w:separator/>
      </w:r>
    </w:p>
  </w:footnote>
  <w:footnote w:type="continuationSeparator" w:id="0">
    <w:p w:rsidR="00A9265E" w:rsidRDefault="00A9265E" w:rsidP="00362DCB">
      <w:pPr>
        <w:spacing w:after="0" w:line="240" w:lineRule="auto"/>
      </w:pPr>
      <w:r>
        <w:continuationSeparator/>
      </w:r>
    </w:p>
  </w:footnote>
  <w:footnote w:id="1">
    <w:p w:rsidR="002D0F76" w:rsidRDefault="002D0F76" w:rsidP="00C96709">
      <w:pPr>
        <w:pStyle w:val="FootnoteText"/>
      </w:pPr>
      <w:r>
        <w:rPr>
          <w:rStyle w:val="FootnoteReference"/>
        </w:rPr>
        <w:t>[1]</w:t>
      </w:r>
      <w:r>
        <w:t xml:space="preserve"> norāda, ja piedāvājumā ir ietvertas dokumentu kopijas.</w:t>
      </w:r>
    </w:p>
  </w:footnote>
  <w:footnote w:id="2">
    <w:p w:rsidR="002D0F76" w:rsidRDefault="002D0F76"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76" w:rsidRDefault="002D0F76"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5105B50"/>
    <w:multiLevelType w:val="multilevel"/>
    <w:tmpl w:val="776A92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B1342"/>
    <w:multiLevelType w:val="hybridMultilevel"/>
    <w:tmpl w:val="CA0EF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8535BA"/>
    <w:multiLevelType w:val="multilevel"/>
    <w:tmpl w:val="EF6EDEF4"/>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495" w:hanging="360"/>
      </w:pPr>
      <w:rPr>
        <w:rFonts w:ascii="Times New Roman" w:hAnsi="Times New Roman" w:cs="Times New Roman"/>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EB97BE6"/>
    <w:multiLevelType w:val="multilevel"/>
    <w:tmpl w:val="FC46C9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EF20B46"/>
    <w:multiLevelType w:val="multilevel"/>
    <w:tmpl w:val="819E1E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1B0D5D"/>
    <w:multiLevelType w:val="multilevel"/>
    <w:tmpl w:val="9518445A"/>
    <w:lvl w:ilvl="0">
      <w:start w:val="3"/>
      <w:numFmt w:val="decimal"/>
      <w:lvlText w:val="%1."/>
      <w:lvlJc w:val="left"/>
      <w:pPr>
        <w:ind w:left="540" w:hanging="540"/>
      </w:pPr>
      <w:rPr>
        <w:rFonts w:hint="default"/>
      </w:rPr>
    </w:lvl>
    <w:lvl w:ilvl="1">
      <w:start w:val="3"/>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7" w15:restartNumberingAfterBreak="0">
    <w:nsid w:val="110111DB"/>
    <w:multiLevelType w:val="multilevel"/>
    <w:tmpl w:val="7EA862FC"/>
    <w:lvl w:ilvl="0">
      <w:start w:val="1"/>
      <w:numFmt w:val="decimal"/>
      <w:lvlText w:val="%1."/>
      <w:lvlJc w:val="left"/>
      <w:pPr>
        <w:ind w:left="1080" w:hanging="360"/>
      </w:pPr>
    </w:lvl>
    <w:lvl w:ilvl="1">
      <w:start w:val="16"/>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34B5F69"/>
    <w:multiLevelType w:val="multilevel"/>
    <w:tmpl w:val="98A8FB5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116A1B"/>
    <w:multiLevelType w:val="hybridMultilevel"/>
    <w:tmpl w:val="04B28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D1BED"/>
    <w:multiLevelType w:val="hybridMultilevel"/>
    <w:tmpl w:val="FF5E4318"/>
    <w:lvl w:ilvl="0" w:tplc="C4A6CE6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91C58D2"/>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226EE4"/>
    <w:multiLevelType w:val="multilevel"/>
    <w:tmpl w:val="704EF83E"/>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964206"/>
    <w:multiLevelType w:val="multilevel"/>
    <w:tmpl w:val="4F8AB6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DB7FBB"/>
    <w:multiLevelType w:val="multilevel"/>
    <w:tmpl w:val="A17C9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785C67"/>
    <w:multiLevelType w:val="multilevel"/>
    <w:tmpl w:val="CE425D9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7" w15:restartNumberingAfterBreak="0">
    <w:nsid w:val="318A30DC"/>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ED01A3"/>
    <w:multiLevelType w:val="hybridMultilevel"/>
    <w:tmpl w:val="328C963C"/>
    <w:lvl w:ilvl="0" w:tplc="0426000F">
      <w:start w:val="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1B60E4"/>
    <w:multiLevelType w:val="multilevel"/>
    <w:tmpl w:val="C2EC7CD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1" w15:restartNumberingAfterBreak="0">
    <w:nsid w:val="3CA72451"/>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3FB421CF"/>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4F06F8"/>
    <w:multiLevelType w:val="multilevel"/>
    <w:tmpl w:val="4BC65756"/>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495" w:hanging="360"/>
      </w:pPr>
      <w:rPr>
        <w:rFonts w:ascii="Times New Roman" w:hAnsi="Times New Roman" w:cs="Times New Roman"/>
        <w:b w:val="0"/>
        <w:sz w:val="23"/>
        <w:szCs w:val="23"/>
      </w:rPr>
    </w:lvl>
    <w:lvl w:ilvl="2">
      <w:start w:val="1"/>
      <w:numFmt w:val="decimal"/>
      <w:lvlText w:val="%1.%2.%3."/>
      <w:lvlJc w:val="left"/>
      <w:pPr>
        <w:ind w:left="1080" w:hanging="720"/>
      </w:pPr>
      <w:rPr>
        <w:rFonts w:ascii="Times New Roman" w:hAnsi="Times New Roman" w:cs="Times New Roman"/>
        <w:sz w:val="23"/>
        <w:szCs w:val="23"/>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5C0116C"/>
    <w:multiLevelType w:val="multilevel"/>
    <w:tmpl w:val="45401F5C"/>
    <w:lvl w:ilvl="0">
      <w:start w:val="3"/>
      <w:numFmt w:val="decimal"/>
      <w:lvlText w:val="%1."/>
      <w:lvlJc w:val="left"/>
      <w:pPr>
        <w:ind w:left="540" w:hanging="540"/>
      </w:pPr>
      <w:rPr>
        <w:rFonts w:hint="default"/>
      </w:rPr>
    </w:lvl>
    <w:lvl w:ilvl="1">
      <w:start w:val="2"/>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737E0E"/>
    <w:multiLevelType w:val="hybridMultilevel"/>
    <w:tmpl w:val="0868BC4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027D94"/>
    <w:multiLevelType w:val="multilevel"/>
    <w:tmpl w:val="EDBA7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C96537"/>
    <w:multiLevelType w:val="multilevel"/>
    <w:tmpl w:val="EF6EDEF4"/>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495" w:hanging="360"/>
      </w:pPr>
      <w:rPr>
        <w:rFonts w:ascii="Times New Roman" w:hAnsi="Times New Roman" w:cs="Times New Roman"/>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A006919"/>
    <w:multiLevelType w:val="multilevel"/>
    <w:tmpl w:val="7B3C31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AA4611"/>
    <w:multiLevelType w:val="hybridMultilevel"/>
    <w:tmpl w:val="FD462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1E31D8"/>
    <w:multiLevelType w:val="hybridMultilevel"/>
    <w:tmpl w:val="1F0C71CE"/>
    <w:lvl w:ilvl="0" w:tplc="BE28A40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604374"/>
    <w:multiLevelType w:val="multilevel"/>
    <w:tmpl w:val="8A2C5A38"/>
    <w:lvl w:ilvl="0">
      <w:start w:val="1"/>
      <w:numFmt w:val="decimal"/>
      <w:lvlText w:val="%1."/>
      <w:lvlJc w:val="left"/>
      <w:pPr>
        <w:ind w:left="720" w:hanging="360"/>
      </w:pPr>
    </w:lvl>
    <w:lvl w:ilvl="1">
      <w:start w:val="6"/>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5" w15:restartNumberingAfterBreak="0">
    <w:nsid w:val="69ED0158"/>
    <w:multiLevelType w:val="hybridMultilevel"/>
    <w:tmpl w:val="D7E4D3A2"/>
    <w:lvl w:ilvl="0" w:tplc="B8483FB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9754E0"/>
    <w:multiLevelType w:val="hybridMultilevel"/>
    <w:tmpl w:val="B1A80AFA"/>
    <w:lvl w:ilvl="0" w:tplc="75628CF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562BDF"/>
    <w:multiLevelType w:val="hybridMultilevel"/>
    <w:tmpl w:val="27AC4786"/>
    <w:lvl w:ilvl="0" w:tplc="A54A8B64">
      <w:start w:val="3"/>
      <w:numFmt w:val="decimal"/>
      <w:lvlText w:val="%1."/>
      <w:lvlJc w:val="left"/>
      <w:pPr>
        <w:tabs>
          <w:tab w:val="num" w:pos="420"/>
        </w:tabs>
        <w:ind w:left="420" w:hanging="360"/>
      </w:pPr>
      <w:rPr>
        <w:rFonts w:hint="default"/>
        <w:b/>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38" w15:restartNumberingAfterBreak="0">
    <w:nsid w:val="73850384"/>
    <w:multiLevelType w:val="hybridMultilevel"/>
    <w:tmpl w:val="0478AA20"/>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764F2C"/>
    <w:multiLevelType w:val="hybridMultilevel"/>
    <w:tmpl w:val="E3DC2C70"/>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1" w15:restartNumberingAfterBreak="0">
    <w:nsid w:val="79644218"/>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BAB1685"/>
    <w:multiLevelType w:val="multilevel"/>
    <w:tmpl w:val="541667AA"/>
    <w:lvl w:ilvl="0">
      <w:start w:val="9"/>
      <w:numFmt w:val="decimal"/>
      <w:lvlText w:val="%1."/>
      <w:lvlJc w:val="left"/>
      <w:pPr>
        <w:ind w:left="3338" w:hanging="360"/>
      </w:pPr>
      <w:rPr>
        <w:rFonts w:hint="default"/>
        <w:b/>
      </w:rPr>
    </w:lvl>
    <w:lvl w:ilvl="1">
      <w:start w:val="1"/>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43"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D8233B4"/>
    <w:multiLevelType w:val="multilevel"/>
    <w:tmpl w:val="EDBA7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420418"/>
    <w:multiLevelType w:val="multilevel"/>
    <w:tmpl w:val="8D208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0"/>
  </w:num>
  <w:num w:numId="3">
    <w:abstractNumId w:val="26"/>
  </w:num>
  <w:num w:numId="4">
    <w:abstractNumId w:val="40"/>
  </w:num>
  <w:num w:numId="5">
    <w:abstractNumId w:val="11"/>
  </w:num>
  <w:num w:numId="6">
    <w:abstractNumId w:val="15"/>
  </w:num>
  <w:num w:numId="7">
    <w:abstractNumId w:val="7"/>
  </w:num>
  <w:num w:numId="8">
    <w:abstractNumId w:val="4"/>
  </w:num>
  <w:num w:numId="9">
    <w:abstractNumId w:val="25"/>
  </w:num>
  <w:num w:numId="10">
    <w:abstractNumId w:val="6"/>
  </w:num>
  <w:num w:numId="11">
    <w:abstractNumId w:val="38"/>
  </w:num>
  <w:num w:numId="12">
    <w:abstractNumId w:val="37"/>
  </w:num>
  <w:num w:numId="13">
    <w:abstractNumId w:val="18"/>
  </w:num>
  <w:num w:numId="14">
    <w:abstractNumId w:val="36"/>
  </w:num>
  <w:num w:numId="15">
    <w:abstractNumId w:val="23"/>
  </w:num>
  <w:num w:numId="16">
    <w:abstractNumId w:val="12"/>
  </w:num>
  <w:num w:numId="17">
    <w:abstractNumId w:val="30"/>
  </w:num>
  <w:num w:numId="18">
    <w:abstractNumId w:val="43"/>
  </w:num>
  <w:num w:numId="19">
    <w:abstractNumId w:val="35"/>
  </w:num>
  <w:num w:numId="20">
    <w:abstractNumId w:val="39"/>
  </w:num>
  <w:num w:numId="21">
    <w:abstractNumId w:val="34"/>
  </w:num>
  <w:num w:numId="22">
    <w:abstractNumId w:val="17"/>
  </w:num>
  <w:num w:numId="23">
    <w:abstractNumId w:val="41"/>
  </w:num>
  <w:num w:numId="24">
    <w:abstractNumId w:val="5"/>
  </w:num>
  <w:num w:numId="25">
    <w:abstractNumId w:val="27"/>
  </w:num>
  <w:num w:numId="26">
    <w:abstractNumId w:val="10"/>
  </w:num>
  <w:num w:numId="27">
    <w:abstractNumId w:val="14"/>
  </w:num>
  <w:num w:numId="28">
    <w:abstractNumId w:val="21"/>
  </w:num>
  <w:num w:numId="29">
    <w:abstractNumId w:val="22"/>
  </w:num>
  <w:num w:numId="30">
    <w:abstractNumId w:val="13"/>
  </w:num>
  <w:num w:numId="31">
    <w:abstractNumId w:val="45"/>
  </w:num>
  <w:num w:numId="32">
    <w:abstractNumId w:val="1"/>
  </w:num>
  <w:num w:numId="33">
    <w:abstractNumId w:val="8"/>
  </w:num>
  <w:num w:numId="34">
    <w:abstractNumId w:val="0"/>
  </w:num>
  <w:num w:numId="35">
    <w:abstractNumId w:val="32"/>
  </w:num>
  <w:num w:numId="36">
    <w:abstractNumId w:val="2"/>
  </w:num>
  <w:num w:numId="37">
    <w:abstractNumId w:val="9"/>
  </w:num>
  <w:num w:numId="38">
    <w:abstractNumId w:val="31"/>
  </w:num>
  <w:num w:numId="39">
    <w:abstractNumId w:val="24"/>
  </w:num>
  <w:num w:numId="40">
    <w:abstractNumId w:val="29"/>
  </w:num>
  <w:num w:numId="41">
    <w:abstractNumId w:val="3"/>
  </w:num>
  <w:num w:numId="42">
    <w:abstractNumId w:val="16"/>
  </w:num>
  <w:num w:numId="43">
    <w:abstractNumId w:val="42"/>
  </w:num>
  <w:num w:numId="44">
    <w:abstractNumId w:val="19"/>
  </w:num>
  <w:num w:numId="45">
    <w:abstractNumId w:val="28"/>
  </w:num>
  <w:num w:numId="46">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69A2"/>
    <w:rsid w:val="000275E5"/>
    <w:rsid w:val="00032967"/>
    <w:rsid w:val="000355CB"/>
    <w:rsid w:val="00036859"/>
    <w:rsid w:val="00036F96"/>
    <w:rsid w:val="00040470"/>
    <w:rsid w:val="00042DC7"/>
    <w:rsid w:val="000433D3"/>
    <w:rsid w:val="000439BC"/>
    <w:rsid w:val="00047943"/>
    <w:rsid w:val="0005113B"/>
    <w:rsid w:val="000512C5"/>
    <w:rsid w:val="00052607"/>
    <w:rsid w:val="00053073"/>
    <w:rsid w:val="00053953"/>
    <w:rsid w:val="00053B44"/>
    <w:rsid w:val="0005483C"/>
    <w:rsid w:val="000568C0"/>
    <w:rsid w:val="00057DD9"/>
    <w:rsid w:val="000614C8"/>
    <w:rsid w:val="000622B0"/>
    <w:rsid w:val="000632D7"/>
    <w:rsid w:val="000638FA"/>
    <w:rsid w:val="00065B64"/>
    <w:rsid w:val="000669EC"/>
    <w:rsid w:val="00066D85"/>
    <w:rsid w:val="00066FB3"/>
    <w:rsid w:val="00070BD6"/>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C0ACC"/>
    <w:rsid w:val="000C10E3"/>
    <w:rsid w:val="000C3598"/>
    <w:rsid w:val="000C3A82"/>
    <w:rsid w:val="000C403B"/>
    <w:rsid w:val="000C4255"/>
    <w:rsid w:val="000C7E41"/>
    <w:rsid w:val="000D0422"/>
    <w:rsid w:val="000D2982"/>
    <w:rsid w:val="000D3249"/>
    <w:rsid w:val="000D3DFF"/>
    <w:rsid w:val="000D54B0"/>
    <w:rsid w:val="000D5DDD"/>
    <w:rsid w:val="000D5EE3"/>
    <w:rsid w:val="000D6C35"/>
    <w:rsid w:val="000D79A7"/>
    <w:rsid w:val="000E08C6"/>
    <w:rsid w:val="000E0F6D"/>
    <w:rsid w:val="000E1717"/>
    <w:rsid w:val="000E3AD5"/>
    <w:rsid w:val="000E3CE1"/>
    <w:rsid w:val="000E66A3"/>
    <w:rsid w:val="000E6B6E"/>
    <w:rsid w:val="000E7005"/>
    <w:rsid w:val="000E7152"/>
    <w:rsid w:val="000E7243"/>
    <w:rsid w:val="000E7F62"/>
    <w:rsid w:val="000F201A"/>
    <w:rsid w:val="000F2156"/>
    <w:rsid w:val="000F2196"/>
    <w:rsid w:val="000F49BE"/>
    <w:rsid w:val="000F663E"/>
    <w:rsid w:val="000F6880"/>
    <w:rsid w:val="000F7701"/>
    <w:rsid w:val="000F7A2C"/>
    <w:rsid w:val="0010187A"/>
    <w:rsid w:val="0010219E"/>
    <w:rsid w:val="00102B54"/>
    <w:rsid w:val="00103029"/>
    <w:rsid w:val="001077CA"/>
    <w:rsid w:val="00107AB1"/>
    <w:rsid w:val="001104F1"/>
    <w:rsid w:val="0011089A"/>
    <w:rsid w:val="00110ADD"/>
    <w:rsid w:val="0011237B"/>
    <w:rsid w:val="00112814"/>
    <w:rsid w:val="00112BB0"/>
    <w:rsid w:val="00114707"/>
    <w:rsid w:val="001176A1"/>
    <w:rsid w:val="00120810"/>
    <w:rsid w:val="00121665"/>
    <w:rsid w:val="00121924"/>
    <w:rsid w:val="00122BB9"/>
    <w:rsid w:val="00123FB0"/>
    <w:rsid w:val="001243C2"/>
    <w:rsid w:val="001277FF"/>
    <w:rsid w:val="00127956"/>
    <w:rsid w:val="001308B7"/>
    <w:rsid w:val="0013482F"/>
    <w:rsid w:val="001357A7"/>
    <w:rsid w:val="00135A8C"/>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3302"/>
    <w:rsid w:val="00170911"/>
    <w:rsid w:val="0017145F"/>
    <w:rsid w:val="00171926"/>
    <w:rsid w:val="00171A5F"/>
    <w:rsid w:val="00172B02"/>
    <w:rsid w:val="001750BF"/>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E8F"/>
    <w:rsid w:val="001C4F85"/>
    <w:rsid w:val="001C6D20"/>
    <w:rsid w:val="001D0619"/>
    <w:rsid w:val="001D0B4F"/>
    <w:rsid w:val="001D0D1A"/>
    <w:rsid w:val="001D23AA"/>
    <w:rsid w:val="001D3117"/>
    <w:rsid w:val="001D5463"/>
    <w:rsid w:val="001D608C"/>
    <w:rsid w:val="001D7055"/>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34DE"/>
    <w:rsid w:val="00207140"/>
    <w:rsid w:val="00207368"/>
    <w:rsid w:val="00207E9C"/>
    <w:rsid w:val="0021059F"/>
    <w:rsid w:val="0021310C"/>
    <w:rsid w:val="00215A52"/>
    <w:rsid w:val="00216835"/>
    <w:rsid w:val="00217914"/>
    <w:rsid w:val="00221A52"/>
    <w:rsid w:val="0022714E"/>
    <w:rsid w:val="00227C09"/>
    <w:rsid w:val="00231025"/>
    <w:rsid w:val="002332C5"/>
    <w:rsid w:val="00233537"/>
    <w:rsid w:val="00235E29"/>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4140"/>
    <w:rsid w:val="002954DC"/>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37B3"/>
    <w:rsid w:val="00305BB0"/>
    <w:rsid w:val="00306583"/>
    <w:rsid w:val="00307070"/>
    <w:rsid w:val="00307FF8"/>
    <w:rsid w:val="00310248"/>
    <w:rsid w:val="003113FB"/>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211"/>
    <w:rsid w:val="003342AA"/>
    <w:rsid w:val="00335D27"/>
    <w:rsid w:val="00335F19"/>
    <w:rsid w:val="00340401"/>
    <w:rsid w:val="003414DA"/>
    <w:rsid w:val="00342B41"/>
    <w:rsid w:val="00342BA2"/>
    <w:rsid w:val="00343183"/>
    <w:rsid w:val="0034370C"/>
    <w:rsid w:val="003448AB"/>
    <w:rsid w:val="00344909"/>
    <w:rsid w:val="00344B4F"/>
    <w:rsid w:val="0034513F"/>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2882"/>
    <w:rsid w:val="003D42AA"/>
    <w:rsid w:val="003D5C54"/>
    <w:rsid w:val="003E278B"/>
    <w:rsid w:val="003E2DE9"/>
    <w:rsid w:val="003E4F3F"/>
    <w:rsid w:val="003E535C"/>
    <w:rsid w:val="003E5808"/>
    <w:rsid w:val="003E5D07"/>
    <w:rsid w:val="003F1568"/>
    <w:rsid w:val="003F4704"/>
    <w:rsid w:val="003F4EC4"/>
    <w:rsid w:val="003F713B"/>
    <w:rsid w:val="003F7160"/>
    <w:rsid w:val="003F74BC"/>
    <w:rsid w:val="003F7784"/>
    <w:rsid w:val="00400379"/>
    <w:rsid w:val="00400F5A"/>
    <w:rsid w:val="00403198"/>
    <w:rsid w:val="00403BC8"/>
    <w:rsid w:val="0040434A"/>
    <w:rsid w:val="0040634D"/>
    <w:rsid w:val="004108B8"/>
    <w:rsid w:val="00411944"/>
    <w:rsid w:val="00412B4F"/>
    <w:rsid w:val="004137AE"/>
    <w:rsid w:val="00416B1F"/>
    <w:rsid w:val="00417171"/>
    <w:rsid w:val="0041748F"/>
    <w:rsid w:val="004178EC"/>
    <w:rsid w:val="00420994"/>
    <w:rsid w:val="00420DA2"/>
    <w:rsid w:val="00421C95"/>
    <w:rsid w:val="00423412"/>
    <w:rsid w:val="00424508"/>
    <w:rsid w:val="00424588"/>
    <w:rsid w:val="00424871"/>
    <w:rsid w:val="0042543F"/>
    <w:rsid w:val="0042742E"/>
    <w:rsid w:val="004276C8"/>
    <w:rsid w:val="00430383"/>
    <w:rsid w:val="004303CD"/>
    <w:rsid w:val="00430E6C"/>
    <w:rsid w:val="0043127F"/>
    <w:rsid w:val="0043153E"/>
    <w:rsid w:val="00433231"/>
    <w:rsid w:val="0043337A"/>
    <w:rsid w:val="00433505"/>
    <w:rsid w:val="00434AC0"/>
    <w:rsid w:val="00435F6A"/>
    <w:rsid w:val="004364F9"/>
    <w:rsid w:val="00436794"/>
    <w:rsid w:val="004375A3"/>
    <w:rsid w:val="0044182C"/>
    <w:rsid w:val="004419FF"/>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D154B"/>
    <w:rsid w:val="004D37A6"/>
    <w:rsid w:val="004D3F70"/>
    <w:rsid w:val="004D620A"/>
    <w:rsid w:val="004D6843"/>
    <w:rsid w:val="004E381A"/>
    <w:rsid w:val="004E3DA2"/>
    <w:rsid w:val="004E4887"/>
    <w:rsid w:val="004E6E68"/>
    <w:rsid w:val="004E6F75"/>
    <w:rsid w:val="004E7550"/>
    <w:rsid w:val="004E7E6C"/>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2038C"/>
    <w:rsid w:val="00520907"/>
    <w:rsid w:val="00520DDA"/>
    <w:rsid w:val="00521A48"/>
    <w:rsid w:val="0052403B"/>
    <w:rsid w:val="0052559E"/>
    <w:rsid w:val="00527355"/>
    <w:rsid w:val="00527B6F"/>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3AF1"/>
    <w:rsid w:val="00573B59"/>
    <w:rsid w:val="005744DB"/>
    <w:rsid w:val="00575F92"/>
    <w:rsid w:val="00576FA8"/>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C0FAF"/>
    <w:rsid w:val="005C3D1C"/>
    <w:rsid w:val="005C4554"/>
    <w:rsid w:val="005C54BC"/>
    <w:rsid w:val="005C74C9"/>
    <w:rsid w:val="005D0CAB"/>
    <w:rsid w:val="005D16C9"/>
    <w:rsid w:val="005D3BEE"/>
    <w:rsid w:val="005D3C79"/>
    <w:rsid w:val="005D42D8"/>
    <w:rsid w:val="005D5D00"/>
    <w:rsid w:val="005D76BD"/>
    <w:rsid w:val="005E020C"/>
    <w:rsid w:val="005E02BD"/>
    <w:rsid w:val="005E0B03"/>
    <w:rsid w:val="005E5A3D"/>
    <w:rsid w:val="005E6736"/>
    <w:rsid w:val="005F0F7C"/>
    <w:rsid w:val="005F4CBE"/>
    <w:rsid w:val="005F4F74"/>
    <w:rsid w:val="005F7A79"/>
    <w:rsid w:val="00603C4F"/>
    <w:rsid w:val="00605099"/>
    <w:rsid w:val="006059AA"/>
    <w:rsid w:val="006061A8"/>
    <w:rsid w:val="00606D9D"/>
    <w:rsid w:val="00610369"/>
    <w:rsid w:val="006109B3"/>
    <w:rsid w:val="00612956"/>
    <w:rsid w:val="00613409"/>
    <w:rsid w:val="00614AFD"/>
    <w:rsid w:val="00615278"/>
    <w:rsid w:val="006156D5"/>
    <w:rsid w:val="00616FD2"/>
    <w:rsid w:val="006203DE"/>
    <w:rsid w:val="00622455"/>
    <w:rsid w:val="00622EE0"/>
    <w:rsid w:val="00623A2A"/>
    <w:rsid w:val="00625F99"/>
    <w:rsid w:val="00627AEA"/>
    <w:rsid w:val="006308F4"/>
    <w:rsid w:val="00631529"/>
    <w:rsid w:val="00631D9E"/>
    <w:rsid w:val="00634458"/>
    <w:rsid w:val="00634C4D"/>
    <w:rsid w:val="00634DC1"/>
    <w:rsid w:val="006408C1"/>
    <w:rsid w:val="006414E0"/>
    <w:rsid w:val="00641771"/>
    <w:rsid w:val="006417DB"/>
    <w:rsid w:val="006455A6"/>
    <w:rsid w:val="00645DDF"/>
    <w:rsid w:val="006469CA"/>
    <w:rsid w:val="00646D19"/>
    <w:rsid w:val="00647085"/>
    <w:rsid w:val="00647AEC"/>
    <w:rsid w:val="0065230A"/>
    <w:rsid w:val="00652886"/>
    <w:rsid w:val="006533E5"/>
    <w:rsid w:val="006558B8"/>
    <w:rsid w:val="0065597C"/>
    <w:rsid w:val="00655E81"/>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7689"/>
    <w:rsid w:val="00692162"/>
    <w:rsid w:val="006929F8"/>
    <w:rsid w:val="00692E9B"/>
    <w:rsid w:val="006A010A"/>
    <w:rsid w:val="006A0172"/>
    <w:rsid w:val="006A140D"/>
    <w:rsid w:val="006A3340"/>
    <w:rsid w:val="006A4149"/>
    <w:rsid w:val="006A4D7A"/>
    <w:rsid w:val="006B0025"/>
    <w:rsid w:val="006B016F"/>
    <w:rsid w:val="006B082A"/>
    <w:rsid w:val="006B1F91"/>
    <w:rsid w:val="006B563E"/>
    <w:rsid w:val="006B5E95"/>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28C3"/>
    <w:rsid w:val="007036D0"/>
    <w:rsid w:val="00703D98"/>
    <w:rsid w:val="00703F97"/>
    <w:rsid w:val="00706196"/>
    <w:rsid w:val="0070728C"/>
    <w:rsid w:val="00712954"/>
    <w:rsid w:val="00717F78"/>
    <w:rsid w:val="00720C82"/>
    <w:rsid w:val="00721B27"/>
    <w:rsid w:val="00721FE0"/>
    <w:rsid w:val="00722397"/>
    <w:rsid w:val="00722A34"/>
    <w:rsid w:val="00722C7C"/>
    <w:rsid w:val="007243BD"/>
    <w:rsid w:val="00724677"/>
    <w:rsid w:val="007255AC"/>
    <w:rsid w:val="00731049"/>
    <w:rsid w:val="0073105E"/>
    <w:rsid w:val="00732C22"/>
    <w:rsid w:val="00735234"/>
    <w:rsid w:val="00735948"/>
    <w:rsid w:val="00736221"/>
    <w:rsid w:val="00737098"/>
    <w:rsid w:val="00737649"/>
    <w:rsid w:val="00737BA0"/>
    <w:rsid w:val="00740ADA"/>
    <w:rsid w:val="00741078"/>
    <w:rsid w:val="0074324A"/>
    <w:rsid w:val="0074414A"/>
    <w:rsid w:val="00744487"/>
    <w:rsid w:val="007449DB"/>
    <w:rsid w:val="00744FFC"/>
    <w:rsid w:val="007461A4"/>
    <w:rsid w:val="00746FC4"/>
    <w:rsid w:val="00750181"/>
    <w:rsid w:val="00750280"/>
    <w:rsid w:val="00752CC6"/>
    <w:rsid w:val="0075627F"/>
    <w:rsid w:val="00762746"/>
    <w:rsid w:val="00767A67"/>
    <w:rsid w:val="00770D88"/>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5F7D"/>
    <w:rsid w:val="00796BA8"/>
    <w:rsid w:val="00797C51"/>
    <w:rsid w:val="007A1564"/>
    <w:rsid w:val="007A171E"/>
    <w:rsid w:val="007A1908"/>
    <w:rsid w:val="007A1E77"/>
    <w:rsid w:val="007A2381"/>
    <w:rsid w:val="007A3D48"/>
    <w:rsid w:val="007A4228"/>
    <w:rsid w:val="007A622E"/>
    <w:rsid w:val="007A78C4"/>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6896"/>
    <w:rsid w:val="007D74B9"/>
    <w:rsid w:val="007E09A8"/>
    <w:rsid w:val="007E0F48"/>
    <w:rsid w:val="007E14FE"/>
    <w:rsid w:val="007E25BE"/>
    <w:rsid w:val="007E3B1C"/>
    <w:rsid w:val="007E3CDD"/>
    <w:rsid w:val="007E5CB0"/>
    <w:rsid w:val="007E5D6C"/>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3614"/>
    <w:rsid w:val="00833DC5"/>
    <w:rsid w:val="008342B5"/>
    <w:rsid w:val="0083599C"/>
    <w:rsid w:val="00842441"/>
    <w:rsid w:val="00845BD2"/>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BCF"/>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23F3"/>
    <w:rsid w:val="00963F6D"/>
    <w:rsid w:val="009656EB"/>
    <w:rsid w:val="00965A20"/>
    <w:rsid w:val="00966493"/>
    <w:rsid w:val="00966B27"/>
    <w:rsid w:val="00966E15"/>
    <w:rsid w:val="0096720D"/>
    <w:rsid w:val="0096743C"/>
    <w:rsid w:val="0097042C"/>
    <w:rsid w:val="009732C4"/>
    <w:rsid w:val="00980606"/>
    <w:rsid w:val="00981A50"/>
    <w:rsid w:val="00983BB4"/>
    <w:rsid w:val="00985B05"/>
    <w:rsid w:val="009862A8"/>
    <w:rsid w:val="00987D39"/>
    <w:rsid w:val="00987E93"/>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72F7"/>
    <w:rsid w:val="00A318AB"/>
    <w:rsid w:val="00A3284A"/>
    <w:rsid w:val="00A33179"/>
    <w:rsid w:val="00A34A35"/>
    <w:rsid w:val="00A34EF7"/>
    <w:rsid w:val="00A36CC2"/>
    <w:rsid w:val="00A37619"/>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565"/>
    <w:rsid w:val="00A70F7C"/>
    <w:rsid w:val="00A7119D"/>
    <w:rsid w:val="00A71ED4"/>
    <w:rsid w:val="00A72D8A"/>
    <w:rsid w:val="00A7510E"/>
    <w:rsid w:val="00A81CAC"/>
    <w:rsid w:val="00A84895"/>
    <w:rsid w:val="00A86CF4"/>
    <w:rsid w:val="00A9265E"/>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FFE"/>
    <w:rsid w:val="00AD4802"/>
    <w:rsid w:val="00AD5FE6"/>
    <w:rsid w:val="00AD7448"/>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2172"/>
    <w:rsid w:val="00B42479"/>
    <w:rsid w:val="00B43F1A"/>
    <w:rsid w:val="00B4483E"/>
    <w:rsid w:val="00B45206"/>
    <w:rsid w:val="00B51C80"/>
    <w:rsid w:val="00B53935"/>
    <w:rsid w:val="00B54211"/>
    <w:rsid w:val="00B5594A"/>
    <w:rsid w:val="00B6056F"/>
    <w:rsid w:val="00B609DF"/>
    <w:rsid w:val="00B611B6"/>
    <w:rsid w:val="00B617C7"/>
    <w:rsid w:val="00B63B6F"/>
    <w:rsid w:val="00B63F4B"/>
    <w:rsid w:val="00B64F5E"/>
    <w:rsid w:val="00B6561B"/>
    <w:rsid w:val="00B66047"/>
    <w:rsid w:val="00B70A3A"/>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A1FB6"/>
    <w:rsid w:val="00BA279B"/>
    <w:rsid w:val="00BA378C"/>
    <w:rsid w:val="00BA5899"/>
    <w:rsid w:val="00BA63E3"/>
    <w:rsid w:val="00BA65F7"/>
    <w:rsid w:val="00BA6E74"/>
    <w:rsid w:val="00BA72D1"/>
    <w:rsid w:val="00BA7888"/>
    <w:rsid w:val="00BA7CED"/>
    <w:rsid w:val="00BB0BE1"/>
    <w:rsid w:val="00BB0F41"/>
    <w:rsid w:val="00BB13EE"/>
    <w:rsid w:val="00BB215F"/>
    <w:rsid w:val="00BB56A1"/>
    <w:rsid w:val="00BB6597"/>
    <w:rsid w:val="00BB76A5"/>
    <w:rsid w:val="00BC5710"/>
    <w:rsid w:val="00BC6972"/>
    <w:rsid w:val="00BD342C"/>
    <w:rsid w:val="00BD489D"/>
    <w:rsid w:val="00BD4AB2"/>
    <w:rsid w:val="00BD7AAF"/>
    <w:rsid w:val="00BE2262"/>
    <w:rsid w:val="00BE4A06"/>
    <w:rsid w:val="00BE52E4"/>
    <w:rsid w:val="00BE583E"/>
    <w:rsid w:val="00BE5BD0"/>
    <w:rsid w:val="00BE64CD"/>
    <w:rsid w:val="00BF12EE"/>
    <w:rsid w:val="00BF1BA4"/>
    <w:rsid w:val="00BF29F5"/>
    <w:rsid w:val="00BF656A"/>
    <w:rsid w:val="00BF6993"/>
    <w:rsid w:val="00BF6DE8"/>
    <w:rsid w:val="00C00E93"/>
    <w:rsid w:val="00C01385"/>
    <w:rsid w:val="00C014A4"/>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6467"/>
    <w:rsid w:val="00C86977"/>
    <w:rsid w:val="00C870B6"/>
    <w:rsid w:val="00C870DA"/>
    <w:rsid w:val="00C872A7"/>
    <w:rsid w:val="00C90CB2"/>
    <w:rsid w:val="00C92E79"/>
    <w:rsid w:val="00C96709"/>
    <w:rsid w:val="00C96AC7"/>
    <w:rsid w:val="00CA255C"/>
    <w:rsid w:val="00CA2809"/>
    <w:rsid w:val="00CA6767"/>
    <w:rsid w:val="00CA7A6A"/>
    <w:rsid w:val="00CA7A7D"/>
    <w:rsid w:val="00CB0112"/>
    <w:rsid w:val="00CB1E36"/>
    <w:rsid w:val="00CB2E02"/>
    <w:rsid w:val="00CB3DAF"/>
    <w:rsid w:val="00CB3FAB"/>
    <w:rsid w:val="00CB57DD"/>
    <w:rsid w:val="00CB5DDF"/>
    <w:rsid w:val="00CB616B"/>
    <w:rsid w:val="00CC0300"/>
    <w:rsid w:val="00CC0F1F"/>
    <w:rsid w:val="00CC1480"/>
    <w:rsid w:val="00CC2036"/>
    <w:rsid w:val="00CC2131"/>
    <w:rsid w:val="00CC244F"/>
    <w:rsid w:val="00CC4092"/>
    <w:rsid w:val="00CC4330"/>
    <w:rsid w:val="00CC5350"/>
    <w:rsid w:val="00CC58AD"/>
    <w:rsid w:val="00CD3D9A"/>
    <w:rsid w:val="00CD463A"/>
    <w:rsid w:val="00CD50A1"/>
    <w:rsid w:val="00CD635E"/>
    <w:rsid w:val="00CD69BF"/>
    <w:rsid w:val="00CD6CE2"/>
    <w:rsid w:val="00CE07B2"/>
    <w:rsid w:val="00CE3331"/>
    <w:rsid w:val="00CE62A4"/>
    <w:rsid w:val="00CF16E4"/>
    <w:rsid w:val="00CF3116"/>
    <w:rsid w:val="00CF3234"/>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645E"/>
    <w:rsid w:val="00DA78F3"/>
    <w:rsid w:val="00DB257E"/>
    <w:rsid w:val="00DB2F25"/>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E0FCA"/>
    <w:rsid w:val="00DE0FE8"/>
    <w:rsid w:val="00DE155F"/>
    <w:rsid w:val="00DE212B"/>
    <w:rsid w:val="00DE3311"/>
    <w:rsid w:val="00DE4A56"/>
    <w:rsid w:val="00DE4CC6"/>
    <w:rsid w:val="00DE5B85"/>
    <w:rsid w:val="00DE76E4"/>
    <w:rsid w:val="00DF1120"/>
    <w:rsid w:val="00DF2310"/>
    <w:rsid w:val="00DF25AA"/>
    <w:rsid w:val="00DF2AF8"/>
    <w:rsid w:val="00DF7D72"/>
    <w:rsid w:val="00E03045"/>
    <w:rsid w:val="00E036EB"/>
    <w:rsid w:val="00E04145"/>
    <w:rsid w:val="00E0575C"/>
    <w:rsid w:val="00E06121"/>
    <w:rsid w:val="00E100D3"/>
    <w:rsid w:val="00E108B2"/>
    <w:rsid w:val="00E11CC5"/>
    <w:rsid w:val="00E12E6D"/>
    <w:rsid w:val="00E16E8C"/>
    <w:rsid w:val="00E16F84"/>
    <w:rsid w:val="00E17042"/>
    <w:rsid w:val="00E17394"/>
    <w:rsid w:val="00E20624"/>
    <w:rsid w:val="00E20994"/>
    <w:rsid w:val="00E2599B"/>
    <w:rsid w:val="00E27D5B"/>
    <w:rsid w:val="00E27E54"/>
    <w:rsid w:val="00E3045B"/>
    <w:rsid w:val="00E3164F"/>
    <w:rsid w:val="00E31739"/>
    <w:rsid w:val="00E322FB"/>
    <w:rsid w:val="00E32D7A"/>
    <w:rsid w:val="00E34EDB"/>
    <w:rsid w:val="00E35C2F"/>
    <w:rsid w:val="00E35E06"/>
    <w:rsid w:val="00E37ACF"/>
    <w:rsid w:val="00E40B0D"/>
    <w:rsid w:val="00E4694F"/>
    <w:rsid w:val="00E475AC"/>
    <w:rsid w:val="00E505CF"/>
    <w:rsid w:val="00E5064D"/>
    <w:rsid w:val="00E522A9"/>
    <w:rsid w:val="00E527A0"/>
    <w:rsid w:val="00E53B34"/>
    <w:rsid w:val="00E53DF6"/>
    <w:rsid w:val="00E5450A"/>
    <w:rsid w:val="00E55013"/>
    <w:rsid w:val="00E552AE"/>
    <w:rsid w:val="00E576C7"/>
    <w:rsid w:val="00E604BA"/>
    <w:rsid w:val="00E62261"/>
    <w:rsid w:val="00E623FA"/>
    <w:rsid w:val="00E6282A"/>
    <w:rsid w:val="00E62ECE"/>
    <w:rsid w:val="00E640A3"/>
    <w:rsid w:val="00E649A5"/>
    <w:rsid w:val="00E64FBC"/>
    <w:rsid w:val="00E671D5"/>
    <w:rsid w:val="00E702DE"/>
    <w:rsid w:val="00E7234B"/>
    <w:rsid w:val="00E72FF9"/>
    <w:rsid w:val="00E7754E"/>
    <w:rsid w:val="00E83416"/>
    <w:rsid w:val="00E83455"/>
    <w:rsid w:val="00E83698"/>
    <w:rsid w:val="00E836C3"/>
    <w:rsid w:val="00E84BE0"/>
    <w:rsid w:val="00E85A7D"/>
    <w:rsid w:val="00E879CC"/>
    <w:rsid w:val="00E90320"/>
    <w:rsid w:val="00E91FE1"/>
    <w:rsid w:val="00E976B8"/>
    <w:rsid w:val="00E97A35"/>
    <w:rsid w:val="00EA16D4"/>
    <w:rsid w:val="00EA1C6E"/>
    <w:rsid w:val="00EA2477"/>
    <w:rsid w:val="00EA2E84"/>
    <w:rsid w:val="00EA4CE0"/>
    <w:rsid w:val="00EA5C09"/>
    <w:rsid w:val="00EA6099"/>
    <w:rsid w:val="00EA6791"/>
    <w:rsid w:val="00EB1BF2"/>
    <w:rsid w:val="00EB1C2A"/>
    <w:rsid w:val="00EB205D"/>
    <w:rsid w:val="00EB3B4B"/>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332D"/>
    <w:rsid w:val="00F43501"/>
    <w:rsid w:val="00F43B7C"/>
    <w:rsid w:val="00F44306"/>
    <w:rsid w:val="00F4471D"/>
    <w:rsid w:val="00F45217"/>
    <w:rsid w:val="00F46F2D"/>
    <w:rsid w:val="00F50803"/>
    <w:rsid w:val="00F5162B"/>
    <w:rsid w:val="00F535F0"/>
    <w:rsid w:val="00F54E34"/>
    <w:rsid w:val="00F56ED7"/>
    <w:rsid w:val="00F60964"/>
    <w:rsid w:val="00F623EF"/>
    <w:rsid w:val="00F62FEC"/>
    <w:rsid w:val="00F63B8E"/>
    <w:rsid w:val="00F63EF0"/>
    <w:rsid w:val="00F66330"/>
    <w:rsid w:val="00F66C2D"/>
    <w:rsid w:val="00F67A52"/>
    <w:rsid w:val="00F7042A"/>
    <w:rsid w:val="00F70977"/>
    <w:rsid w:val="00F709F3"/>
    <w:rsid w:val="00F70BB0"/>
    <w:rsid w:val="00F71688"/>
    <w:rsid w:val="00F727F9"/>
    <w:rsid w:val="00F7540A"/>
    <w:rsid w:val="00F76075"/>
    <w:rsid w:val="00F8147A"/>
    <w:rsid w:val="00F82939"/>
    <w:rsid w:val="00F83D2B"/>
    <w:rsid w:val="00F83F1D"/>
    <w:rsid w:val="00F8469D"/>
    <w:rsid w:val="00F84833"/>
    <w:rsid w:val="00F86CB3"/>
    <w:rsid w:val="00F874AA"/>
    <w:rsid w:val="00F874AB"/>
    <w:rsid w:val="00F92EDC"/>
    <w:rsid w:val="00F95B25"/>
    <w:rsid w:val="00F96F35"/>
    <w:rsid w:val="00F97407"/>
    <w:rsid w:val="00F97FD4"/>
    <w:rsid w:val="00FA0A34"/>
    <w:rsid w:val="00FA2B46"/>
    <w:rsid w:val="00FA3980"/>
    <w:rsid w:val="00FA3DDC"/>
    <w:rsid w:val="00FA4D10"/>
    <w:rsid w:val="00FA5541"/>
    <w:rsid w:val="00FA7BAE"/>
    <w:rsid w:val="00FB000E"/>
    <w:rsid w:val="00FB069D"/>
    <w:rsid w:val="00FB1623"/>
    <w:rsid w:val="00FB1C04"/>
    <w:rsid w:val="00FB4E6E"/>
    <w:rsid w:val="00FB56EA"/>
    <w:rsid w:val="00FB734B"/>
    <w:rsid w:val="00FB7592"/>
    <w:rsid w:val="00FB7D04"/>
    <w:rsid w:val="00FC4BC0"/>
    <w:rsid w:val="00FC5733"/>
    <w:rsid w:val="00FC6129"/>
    <w:rsid w:val="00FC6AF2"/>
    <w:rsid w:val="00FD0249"/>
    <w:rsid w:val="00FD1086"/>
    <w:rsid w:val="00FD30C1"/>
    <w:rsid w:val="00FD5B89"/>
    <w:rsid w:val="00FD6EEC"/>
    <w:rsid w:val="00FE105F"/>
    <w:rsid w:val="00FE1A24"/>
    <w:rsid w:val="00FE26D6"/>
    <w:rsid w:val="00FE284B"/>
    <w:rsid w:val="00FE2E47"/>
    <w:rsid w:val="00FE5D3C"/>
    <w:rsid w:val="00FE6E83"/>
    <w:rsid w:val="00FE7309"/>
    <w:rsid w:val="00FE7BC6"/>
    <w:rsid w:val="00FE7D25"/>
    <w:rsid w:val="00FF037D"/>
    <w:rsid w:val="00FF10A8"/>
    <w:rsid w:val="00FF1351"/>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ija.celmina@scanme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mailto:anda.jumike@stradini.l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8B31-DFBE-45DC-A7E1-241711C0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25544</Words>
  <Characters>14561</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40025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106</cp:revision>
  <cp:lastPrinted>2016-01-07T16:27:00Z</cp:lastPrinted>
  <dcterms:created xsi:type="dcterms:W3CDTF">2016-01-07T14:32:00Z</dcterms:created>
  <dcterms:modified xsi:type="dcterms:W3CDTF">2016-07-22T12:33:00Z</dcterms:modified>
</cp:coreProperties>
</file>