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1FCBA67F"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47735D">
        <w:rPr>
          <w:rFonts w:ascii="Times New Roman" w:eastAsia="Times New Roman" w:hAnsi="Times New Roman"/>
        </w:rPr>
        <w:t>3</w:t>
      </w:r>
      <w:r w:rsidR="0066252A" w:rsidRPr="00932117">
        <w:rPr>
          <w:rFonts w:ascii="Times New Roman" w:eastAsia="Times New Roman" w:hAnsi="Times New Roman"/>
        </w:rPr>
        <w:t xml:space="preserve">. gada </w:t>
      </w:r>
      <w:r w:rsidR="0047735D">
        <w:rPr>
          <w:rFonts w:ascii="Times New Roman" w:eastAsia="Times New Roman" w:hAnsi="Times New Roman"/>
        </w:rPr>
        <w:t>__</w:t>
      </w:r>
      <w:r w:rsidR="00CD6874">
        <w:rPr>
          <w:rFonts w:ascii="Times New Roman" w:eastAsia="Times New Roman" w:hAnsi="Times New Roman"/>
        </w:rPr>
        <w:t>.</w:t>
      </w:r>
      <w:r w:rsidR="0047735D">
        <w:rPr>
          <w:rFonts w:ascii="Times New Roman" w:eastAsia="Times New Roman" w:hAnsi="Times New Roman"/>
        </w:rPr>
        <w:t>____</w:t>
      </w:r>
      <w:r w:rsidR="00E630B4">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77777777"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7A650C66"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621D6F" w:rsidRPr="00621D6F">
        <w:rPr>
          <w:rFonts w:ascii="Times New Roman" w:hAnsi="Times New Roman"/>
          <w:b/>
          <w:sz w:val="24"/>
          <w:szCs w:val="24"/>
        </w:rPr>
        <w:t>Teritorijas braucamās daļas un ietvju seguma izveide un atjaunošana</w:t>
      </w:r>
      <w:r w:rsidRPr="007B25F2">
        <w:rPr>
          <w:rFonts w:ascii="Times New Roman" w:eastAsia="Times New Roman" w:hAnsi="Times New Roman"/>
          <w:b/>
          <w:sz w:val="24"/>
          <w:szCs w:val="24"/>
          <w:lang w:eastAsia="lv-LV"/>
        </w:rPr>
        <w:t>”</w:t>
      </w:r>
    </w:p>
    <w:p w14:paraId="70B41973" w14:textId="61CD5FD3"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w:t>
      </w:r>
      <w:r w:rsidR="0047735D">
        <w:rPr>
          <w:rFonts w:ascii="Times New Roman" w:hAnsi="Times New Roman"/>
          <w:bCs/>
          <w:sz w:val="24"/>
          <w:szCs w:val="24"/>
        </w:rPr>
        <w:t>3</w:t>
      </w:r>
      <w:r w:rsidRPr="007B25F2">
        <w:rPr>
          <w:rFonts w:ascii="Times New Roman" w:hAnsi="Times New Roman"/>
          <w:bCs/>
          <w:sz w:val="24"/>
          <w:szCs w:val="24"/>
        </w:rPr>
        <w:t>/</w:t>
      </w:r>
      <w:r w:rsidR="0047735D">
        <w:rPr>
          <w:rFonts w:ascii="Times New Roman" w:hAnsi="Times New Roman"/>
          <w:bCs/>
          <w:sz w:val="24"/>
          <w:szCs w:val="24"/>
        </w:rPr>
        <w:t>70</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5C713028"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47735D">
        <w:rPr>
          <w:rFonts w:ascii="Times New Roman" w:eastAsia="Times New Roman" w:hAnsi="Times New Roman"/>
          <w:sz w:val="24"/>
          <w:szCs w:val="24"/>
        </w:rPr>
        <w:t>Andrejs Vessers</w:t>
      </w:r>
      <w:r w:rsidR="009766C1" w:rsidRPr="00932117">
        <w:rPr>
          <w:rFonts w:ascii="Times New Roman" w:eastAsia="Times New Roman" w:hAnsi="Times New Roman"/>
          <w:sz w:val="24"/>
          <w:szCs w:val="24"/>
        </w:rPr>
        <w:t>, tālrunis 6706</w:t>
      </w:r>
      <w:r w:rsidR="0047735D">
        <w:rPr>
          <w:rFonts w:ascii="Times New Roman" w:eastAsia="Times New Roman" w:hAnsi="Times New Roman"/>
          <w:sz w:val="24"/>
          <w:szCs w:val="24"/>
        </w:rPr>
        <w:t>9719</w:t>
      </w:r>
      <w:r w:rsidRPr="007B25F2">
        <w:rPr>
          <w:rFonts w:ascii="Times New Roman" w:eastAsia="Times New Roman" w:hAnsi="Times New Roman"/>
          <w:sz w:val="24"/>
          <w:szCs w:val="24"/>
        </w:rPr>
        <w:t xml:space="preserve">, e-pasta adrese: </w:t>
      </w:r>
      <w:hyperlink r:id="rId8" w:history="1">
        <w:r w:rsidR="0047735D" w:rsidRPr="004838E1">
          <w:rPr>
            <w:rStyle w:val="Hyperlink"/>
            <w:rFonts w:ascii="Times New Roman" w:eastAsia="Times New Roman" w:hAnsi="Times New Roman"/>
            <w:sz w:val="24"/>
            <w:szCs w:val="24"/>
          </w:rPr>
          <w:t>andrejs.vessers@stradini.lv</w:t>
        </w:r>
      </w:hyperlink>
      <w:r w:rsidRPr="007B25F2">
        <w:rPr>
          <w:rFonts w:ascii="Times New Roman" w:eastAsia="Times New Roman" w:hAnsi="Times New Roman"/>
          <w:sz w:val="24"/>
          <w:szCs w:val="24"/>
        </w:rPr>
        <w:t>.</w:t>
      </w:r>
    </w:p>
    <w:p w14:paraId="152045E3" w14:textId="77777777"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83319A">
      <w:pPr>
        <w:pStyle w:val="ListParagraph"/>
        <w:numPr>
          <w:ilvl w:val="0"/>
          <w:numId w:val="2"/>
        </w:numPr>
        <w:tabs>
          <w:tab w:val="left" w:pos="1134"/>
        </w:tabs>
        <w:ind w:left="0" w:firstLine="567"/>
        <w:jc w:val="both"/>
        <w:rPr>
          <w:b/>
        </w:rPr>
      </w:pPr>
      <w:r w:rsidRPr="007B25F2">
        <w:rPr>
          <w:b/>
        </w:rPr>
        <w:t>Informācija par iepirkuma priekšmetu</w:t>
      </w:r>
    </w:p>
    <w:p w14:paraId="1B769969" w14:textId="204B2800" w:rsidR="00621D6F" w:rsidRPr="00EF3573" w:rsidRDefault="000C4A76" w:rsidP="00DF32E5">
      <w:pPr>
        <w:pStyle w:val="ListParagraph"/>
        <w:numPr>
          <w:ilvl w:val="1"/>
          <w:numId w:val="2"/>
        </w:numPr>
        <w:tabs>
          <w:tab w:val="left" w:pos="993"/>
        </w:tabs>
        <w:ind w:left="0" w:firstLine="567"/>
        <w:jc w:val="both"/>
      </w:pPr>
      <w:r w:rsidRPr="007B25F2">
        <w:t xml:space="preserve"> </w:t>
      </w:r>
      <w:r w:rsidR="009766C1" w:rsidRPr="007B25F2">
        <w:t>Iepirkuma priekšmets ir</w:t>
      </w:r>
      <w:r w:rsidR="0082100B" w:rsidRPr="007B25F2">
        <w:t xml:space="preserve"> </w:t>
      </w:r>
      <w:r w:rsidR="00621D6F" w:rsidRPr="00621D6F">
        <w:t>teritorijas braucamās daļas un ietvju seguma izveide un atjaunošana, saskaņā ar iepirkuma “</w:t>
      </w:r>
      <w:r w:rsidR="00621D6F" w:rsidRPr="00EF3573">
        <w:t>Teritorijas braucamās daļas un ietvju seguma izveide un atjaunošana”, identifikācijas Nr.202</w:t>
      </w:r>
      <w:r w:rsidR="0047735D">
        <w:t>3</w:t>
      </w:r>
      <w:r w:rsidR="00621D6F" w:rsidRPr="00EF3573">
        <w:t>/</w:t>
      </w:r>
      <w:r w:rsidR="0047735D">
        <w:t>70</w:t>
      </w:r>
      <w:r w:rsidR="00621D6F" w:rsidRPr="00EF3573">
        <w:t xml:space="preserve"> (turpmāk – Iepirkums) nolikuma (turpmāk – Nolikums) un tā pielikumos noteiktajām prasībām. </w:t>
      </w:r>
    </w:p>
    <w:p w14:paraId="3C2C61BF" w14:textId="4AC86855" w:rsidR="0066252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iCs/>
        </w:rPr>
        <w:t>Iepirkuma priekšmeta apraksts</w:t>
      </w:r>
      <w:r w:rsidR="00B94B19" w:rsidRPr="00EF3573">
        <w:rPr>
          <w:iCs/>
        </w:rPr>
        <w:t xml:space="preserve"> un apjoms</w:t>
      </w:r>
      <w:r w:rsidRPr="00EF3573">
        <w:rPr>
          <w:iCs/>
        </w:rPr>
        <w:t xml:space="preserve"> ir noteikts </w:t>
      </w:r>
      <w:r w:rsidR="00B94B19" w:rsidRPr="00EF3573">
        <w:rPr>
          <w:iCs/>
        </w:rPr>
        <w:t xml:space="preserve">Iepirkuma </w:t>
      </w:r>
      <w:r w:rsidR="00DF43D8" w:rsidRPr="00EF3573">
        <w:rPr>
          <w:iCs/>
        </w:rPr>
        <w:t xml:space="preserve">Tehniskajā specifikācijā/ </w:t>
      </w:r>
      <w:r w:rsidR="00B94B19" w:rsidRPr="00EF3573">
        <w:rPr>
          <w:iCs/>
        </w:rPr>
        <w:t>T</w:t>
      </w:r>
      <w:r w:rsidRPr="00EF3573">
        <w:rPr>
          <w:iCs/>
        </w:rPr>
        <w:t>ehniskajā</w:t>
      </w:r>
      <w:r w:rsidR="00B94B19" w:rsidRPr="00EF3573">
        <w:rPr>
          <w:iCs/>
        </w:rPr>
        <w:t xml:space="preserve"> </w:t>
      </w:r>
      <w:r w:rsidRPr="00EF3573">
        <w:rPr>
          <w:iCs/>
        </w:rPr>
        <w:t>piedāvājumā</w:t>
      </w:r>
      <w:r w:rsidR="001F37E9" w:rsidRPr="00EF3573">
        <w:rPr>
          <w:iCs/>
        </w:rPr>
        <w:t xml:space="preserve"> (turpmāk – Tehniskā specifikācija</w:t>
      </w:r>
      <w:r w:rsidR="00B94B19" w:rsidRPr="00EF3573">
        <w:rPr>
          <w:iCs/>
        </w:rPr>
        <w:t>)</w:t>
      </w:r>
      <w:r w:rsidRPr="00EF3573">
        <w:rPr>
          <w:iCs/>
        </w:rPr>
        <w:t xml:space="preserve"> (2.</w:t>
      </w:r>
      <w:r w:rsidR="00B94B19" w:rsidRPr="00EF3573">
        <w:rPr>
          <w:iCs/>
        </w:rPr>
        <w:t xml:space="preserve"> </w:t>
      </w:r>
      <w:r w:rsidRPr="00EF3573">
        <w:rPr>
          <w:iCs/>
        </w:rPr>
        <w:t>pielikums)</w:t>
      </w:r>
      <w:r w:rsidR="004C04F4">
        <w:t xml:space="preserve"> un Finanšu piedāvājuma (3.pielikums) tāmēs. </w:t>
      </w:r>
    </w:p>
    <w:p w14:paraId="224CC59E" w14:textId="250114C9" w:rsidR="00075C60" w:rsidRPr="00EF3573" w:rsidRDefault="00075C60" w:rsidP="00DF32E5">
      <w:pPr>
        <w:pStyle w:val="ListParagraph"/>
        <w:numPr>
          <w:ilvl w:val="1"/>
          <w:numId w:val="2"/>
        </w:numPr>
        <w:tabs>
          <w:tab w:val="left" w:pos="993"/>
          <w:tab w:val="left" w:pos="1134"/>
        </w:tabs>
        <w:ind w:left="0" w:firstLine="567"/>
        <w:jc w:val="both"/>
        <w:rPr>
          <w:iCs/>
        </w:rPr>
      </w:pPr>
      <w:r w:rsidRPr="00EF3573">
        <w:t xml:space="preserve">Iepirkuma priekšmets </w:t>
      </w:r>
      <w:r w:rsidR="0047735D">
        <w:t xml:space="preserve">nav </w:t>
      </w:r>
      <w:r w:rsidRPr="00EF3573">
        <w:t>sadalīts daļās</w:t>
      </w:r>
      <w:r w:rsidR="0047735D">
        <w:t>.</w:t>
      </w:r>
    </w:p>
    <w:p w14:paraId="0DAEAC30" w14:textId="053DC23A" w:rsidR="00F9649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bCs/>
          <w:lang w:eastAsia="en-US"/>
        </w:rPr>
        <w:t xml:space="preserve">Līguma darbības termiņš: </w:t>
      </w:r>
      <w:r w:rsidR="00CB26BB" w:rsidRPr="00EF3573">
        <w:rPr>
          <w:bCs/>
          <w:lang w:eastAsia="en-US"/>
        </w:rPr>
        <w:t xml:space="preserve">24 </w:t>
      </w:r>
      <w:r w:rsidR="00F9649A" w:rsidRPr="00EF3573">
        <w:rPr>
          <w:bCs/>
          <w:lang w:eastAsia="en-US"/>
        </w:rPr>
        <w:t>(</w:t>
      </w:r>
      <w:r w:rsidR="00CB26BB" w:rsidRPr="00EF3573">
        <w:rPr>
          <w:bCs/>
          <w:lang w:eastAsia="en-US"/>
        </w:rPr>
        <w:t>divdesmit četri</w:t>
      </w:r>
      <w:r w:rsidR="00F9649A" w:rsidRPr="00EF3573">
        <w:rPr>
          <w:bCs/>
          <w:lang w:eastAsia="en-US"/>
        </w:rPr>
        <w:t>) mēneši no līguma spēkā stāšanās dienas</w:t>
      </w:r>
      <w:r w:rsidR="00CB26BB" w:rsidRPr="00EF3573">
        <w:rPr>
          <w:bCs/>
          <w:lang w:eastAsia="en-US"/>
        </w:rPr>
        <w:t>.</w:t>
      </w:r>
    </w:p>
    <w:p w14:paraId="1BFA06E3" w14:textId="5058062F" w:rsidR="006A0918" w:rsidRPr="00EF3573" w:rsidRDefault="0066252A" w:rsidP="00DF32E5">
      <w:pPr>
        <w:pStyle w:val="ListParagraph"/>
        <w:numPr>
          <w:ilvl w:val="1"/>
          <w:numId w:val="2"/>
        </w:numPr>
        <w:tabs>
          <w:tab w:val="left" w:pos="993"/>
          <w:tab w:val="left" w:pos="1134"/>
        </w:tabs>
        <w:ind w:left="0" w:firstLine="567"/>
        <w:jc w:val="both"/>
        <w:rPr>
          <w:iCs/>
        </w:rPr>
      </w:pPr>
      <w:r w:rsidRPr="00EF3573">
        <w:rPr>
          <w:bCs/>
          <w:lang w:eastAsia="en-US"/>
        </w:rPr>
        <w:t xml:space="preserve">Kopējā </w:t>
      </w:r>
      <w:r w:rsidR="00F9649A" w:rsidRPr="00EF3573">
        <w:rPr>
          <w:bCs/>
          <w:lang w:eastAsia="en-US"/>
        </w:rPr>
        <w:t xml:space="preserve">plānotā </w:t>
      </w:r>
      <w:r w:rsidR="00B037E0" w:rsidRPr="00EF3573">
        <w:rPr>
          <w:bCs/>
          <w:lang w:eastAsia="en-US"/>
        </w:rPr>
        <w:t xml:space="preserve">summa </w:t>
      </w:r>
      <w:r w:rsidRPr="00EF3573">
        <w:rPr>
          <w:bCs/>
          <w:lang w:eastAsia="en-US"/>
        </w:rPr>
        <w:t>ir</w:t>
      </w:r>
      <w:r w:rsidR="00F9649A" w:rsidRPr="00EF3573">
        <w:rPr>
          <w:bCs/>
          <w:lang w:eastAsia="en-US"/>
        </w:rPr>
        <w:t xml:space="preserve"> EUR</w:t>
      </w:r>
      <w:r w:rsidR="00CB26BB" w:rsidRPr="00EF3573">
        <w:rPr>
          <w:bCs/>
          <w:lang w:eastAsia="en-US"/>
        </w:rPr>
        <w:t xml:space="preserve"> </w:t>
      </w:r>
      <w:r w:rsidR="0047735D">
        <w:rPr>
          <w:bCs/>
          <w:lang w:eastAsia="en-US"/>
        </w:rPr>
        <w:t>60</w:t>
      </w:r>
      <w:r w:rsidR="00CB26BB" w:rsidRPr="00EF3573">
        <w:rPr>
          <w:bCs/>
          <w:lang w:eastAsia="en-US"/>
        </w:rPr>
        <w:t xml:space="preserve"> 000,00 (</w:t>
      </w:r>
      <w:r w:rsidR="0047735D">
        <w:rPr>
          <w:bCs/>
          <w:lang w:eastAsia="en-US"/>
        </w:rPr>
        <w:t>sešdesmit</w:t>
      </w:r>
      <w:r w:rsidR="00CB26BB" w:rsidRPr="00EF3573">
        <w:rPr>
          <w:bCs/>
          <w:lang w:eastAsia="en-US"/>
        </w:rPr>
        <w:t xml:space="preserve"> tūkstoši </w:t>
      </w:r>
      <w:proofErr w:type="spellStart"/>
      <w:r w:rsidR="00CB26BB" w:rsidRPr="00EF3573">
        <w:rPr>
          <w:bCs/>
          <w:i/>
          <w:lang w:eastAsia="en-US"/>
        </w:rPr>
        <w:t>euro</w:t>
      </w:r>
      <w:proofErr w:type="spellEnd"/>
      <w:r w:rsidR="00CB26BB" w:rsidRPr="00EF3573">
        <w:rPr>
          <w:bCs/>
          <w:lang w:eastAsia="en-US"/>
        </w:rPr>
        <w:t>, 00 centi) bez PVN</w:t>
      </w:r>
      <w:r w:rsidR="0047735D">
        <w:rPr>
          <w:bCs/>
          <w:lang w:eastAsia="en-US"/>
        </w:rPr>
        <w:t>.</w:t>
      </w:r>
    </w:p>
    <w:p w14:paraId="29D197DD" w14:textId="215A8358" w:rsidR="00B626F5" w:rsidRPr="00EF3573" w:rsidRDefault="00B626F5" w:rsidP="00DF32E5">
      <w:pPr>
        <w:pStyle w:val="ListParagraph"/>
        <w:numPr>
          <w:ilvl w:val="1"/>
          <w:numId w:val="2"/>
        </w:numPr>
        <w:tabs>
          <w:tab w:val="left" w:pos="993"/>
          <w:tab w:val="left" w:pos="1134"/>
        </w:tabs>
        <w:ind w:left="0" w:firstLine="567"/>
        <w:jc w:val="both"/>
        <w:rPr>
          <w:iCs/>
        </w:rPr>
      </w:pPr>
      <w:r w:rsidRPr="00EF3573">
        <w:rPr>
          <w:iCs/>
        </w:rPr>
        <w:t>Pretendentu piedāvājumā norādītās kopējās cenas ir tikai vērtējamās cenas un tiks izmantotas tikai pretendentu finanšu piedāvājumu savstarpējai salīdzināšanai.</w:t>
      </w:r>
      <w:r w:rsidRPr="00EF3573">
        <w:t xml:space="preserve"> </w:t>
      </w:r>
      <w:r w:rsidRPr="00EF3573">
        <w:rPr>
          <w:iCs/>
        </w:rPr>
        <w:t>Līg</w:t>
      </w:r>
      <w:r w:rsidR="006B5CD2" w:rsidRPr="00EF3573">
        <w:rPr>
          <w:iCs/>
        </w:rPr>
        <w:t>ums tiks slēgts par nolikuma 3.5</w:t>
      </w:r>
      <w:r w:rsidRPr="00EF3573">
        <w:rPr>
          <w:iCs/>
        </w:rPr>
        <w:t>. apakšpunktā  noteikto summu.</w:t>
      </w:r>
    </w:p>
    <w:p w14:paraId="41060274" w14:textId="6CC04DC8" w:rsidR="00E34095" w:rsidRPr="00EF3573" w:rsidRDefault="006A0918" w:rsidP="00DF32E5">
      <w:pPr>
        <w:pStyle w:val="ListParagraph"/>
        <w:numPr>
          <w:ilvl w:val="1"/>
          <w:numId w:val="2"/>
        </w:numPr>
        <w:tabs>
          <w:tab w:val="left" w:pos="993"/>
        </w:tabs>
        <w:ind w:left="0" w:firstLine="567"/>
        <w:jc w:val="both"/>
        <w:rPr>
          <w:bCs/>
          <w:lang w:eastAsia="en-US"/>
        </w:rPr>
      </w:pPr>
      <w:r w:rsidRPr="00EF3573">
        <w:rPr>
          <w:bCs/>
          <w:lang w:eastAsia="en-US"/>
        </w:rPr>
        <w:t xml:space="preserve"> Pasūtītājs patur tiesības lemt par </w:t>
      </w:r>
      <w:r w:rsidR="00483A53" w:rsidRPr="00EF3573">
        <w:rPr>
          <w:bCs/>
          <w:lang w:eastAsia="en-US"/>
        </w:rPr>
        <w:t>3.5</w:t>
      </w:r>
      <w:r w:rsidR="00C03CCB" w:rsidRPr="00EF3573">
        <w:rPr>
          <w:bCs/>
          <w:lang w:eastAsia="en-US"/>
        </w:rPr>
        <w:t>.</w:t>
      </w:r>
      <w:r w:rsidRPr="00EF3573">
        <w:rPr>
          <w:bCs/>
          <w:lang w:eastAsia="en-US"/>
        </w:rPr>
        <w:t xml:space="preserve"> punktā minēto summu izmaiņām, pamatojoties uz Pasūtītāja finanšu iespējām un PIL.</w:t>
      </w:r>
      <w:r w:rsidR="00E34095" w:rsidRPr="00EF3573">
        <w:rPr>
          <w:bCs/>
          <w:lang w:eastAsia="en-US"/>
        </w:rPr>
        <w:t xml:space="preserve"> </w:t>
      </w:r>
      <w:r w:rsidR="00CB26BB" w:rsidRPr="00EF3573">
        <w:rPr>
          <w:bCs/>
          <w:lang w:eastAsia="en-US"/>
        </w:rPr>
        <w:t xml:space="preserve">Pasūtītājam ir tiesības līguma izpildes laikā noteikt, kuru darbi jāveic prioritāri, kā arī noteikt, kuri darbi tiks veikti šī iepirkuma rezultātā, ņemot vērā Pasūtītāja finanšu iespējas. </w:t>
      </w:r>
    </w:p>
    <w:p w14:paraId="48D01F90" w14:textId="77777777" w:rsidR="0066252A" w:rsidRPr="00EF3573" w:rsidRDefault="0066252A" w:rsidP="00DF32E5">
      <w:pPr>
        <w:pStyle w:val="ListParagraph"/>
        <w:numPr>
          <w:ilvl w:val="1"/>
          <w:numId w:val="2"/>
        </w:numPr>
        <w:tabs>
          <w:tab w:val="left" w:pos="993"/>
          <w:tab w:val="left" w:pos="1134"/>
        </w:tabs>
        <w:ind w:left="0" w:firstLine="567"/>
        <w:jc w:val="both"/>
        <w:rPr>
          <w:iCs/>
        </w:rPr>
      </w:pPr>
      <w:r w:rsidRPr="00EF3573">
        <w:rPr>
          <w:lang w:eastAsia="en-US"/>
        </w:rPr>
        <w:t xml:space="preserve">Pretendentam piedāvājums </w:t>
      </w:r>
      <w:r w:rsidR="00F9649A" w:rsidRPr="00EF3573">
        <w:rPr>
          <w:lang w:eastAsia="en-US"/>
        </w:rPr>
        <w:t xml:space="preserve">jāsagatavo un </w:t>
      </w:r>
      <w:r w:rsidRPr="00EF3573">
        <w:rPr>
          <w:lang w:eastAsia="en-US"/>
        </w:rPr>
        <w:t xml:space="preserve">jāiesniedz par pilnu </w:t>
      </w:r>
      <w:r w:rsidR="00F9649A" w:rsidRPr="00EF3573">
        <w:rPr>
          <w:lang w:eastAsia="en-US"/>
        </w:rPr>
        <w:t>I</w:t>
      </w:r>
      <w:r w:rsidRPr="00EF3573">
        <w:rPr>
          <w:lang w:eastAsia="en-US"/>
        </w:rPr>
        <w:t>epirkuma priekšmeta apjomu</w:t>
      </w:r>
      <w:r w:rsidRPr="00EF3573">
        <w:rPr>
          <w:iCs/>
        </w:rPr>
        <w:t>.</w:t>
      </w:r>
    </w:p>
    <w:p w14:paraId="4184A133" w14:textId="2D50D867" w:rsidR="00BF0C9D" w:rsidRPr="00EF3573" w:rsidRDefault="0066252A" w:rsidP="00DF32E5">
      <w:pPr>
        <w:pStyle w:val="ListParagraph"/>
        <w:numPr>
          <w:ilvl w:val="1"/>
          <w:numId w:val="2"/>
        </w:numPr>
        <w:tabs>
          <w:tab w:val="left" w:pos="993"/>
          <w:tab w:val="left" w:pos="1134"/>
        </w:tabs>
        <w:ind w:left="0" w:firstLine="567"/>
        <w:jc w:val="both"/>
        <w:rPr>
          <w:bCs/>
        </w:rPr>
      </w:pPr>
      <w:r w:rsidRPr="00EF3573">
        <w:t>Pretendents nedrīkst iesniegt piedāvājuma variantus.</w:t>
      </w:r>
    </w:p>
    <w:p w14:paraId="7E611313" w14:textId="533CAE3E" w:rsidR="006A0918" w:rsidRPr="00EF3573" w:rsidRDefault="0066252A" w:rsidP="00DF32E5">
      <w:pPr>
        <w:pStyle w:val="ListParagraph"/>
        <w:numPr>
          <w:ilvl w:val="1"/>
          <w:numId w:val="2"/>
        </w:numPr>
        <w:tabs>
          <w:tab w:val="left" w:pos="993"/>
          <w:tab w:val="left" w:pos="1134"/>
        </w:tabs>
        <w:ind w:left="0" w:firstLine="567"/>
        <w:rPr>
          <w:bCs/>
        </w:rPr>
      </w:pPr>
      <w:r w:rsidRPr="00EF3573">
        <w:rPr>
          <w:bCs/>
        </w:rPr>
        <w:t xml:space="preserve">CPV kods: </w:t>
      </w:r>
      <w:r w:rsidR="00737A42" w:rsidRPr="00EF3573">
        <w:rPr>
          <w:bCs/>
        </w:rPr>
        <w:t>45233200-1 (dažādi ceļu seguma būvdarbi).</w:t>
      </w:r>
    </w:p>
    <w:p w14:paraId="580162B6" w14:textId="77777777" w:rsidR="00633B8D" w:rsidRPr="00EF3573" w:rsidRDefault="00633B8D" w:rsidP="00DF32E5">
      <w:pPr>
        <w:pStyle w:val="ListParagraph"/>
        <w:tabs>
          <w:tab w:val="left" w:pos="993"/>
        </w:tabs>
        <w:ind w:left="0" w:firstLine="567"/>
        <w:rPr>
          <w:bCs/>
        </w:rPr>
      </w:pPr>
    </w:p>
    <w:p w14:paraId="0B94A647" w14:textId="530F5E49" w:rsidR="0066252A" w:rsidRPr="00EF3573" w:rsidRDefault="0066252A" w:rsidP="00422419">
      <w:pPr>
        <w:pStyle w:val="ListParagraph"/>
        <w:numPr>
          <w:ilvl w:val="0"/>
          <w:numId w:val="3"/>
        </w:numPr>
        <w:tabs>
          <w:tab w:val="left" w:pos="1134"/>
        </w:tabs>
        <w:ind w:left="0" w:right="-284" w:firstLine="567"/>
        <w:jc w:val="both"/>
      </w:pPr>
      <w:r w:rsidRPr="00EF3573">
        <w:rPr>
          <w:b/>
        </w:rPr>
        <w:t xml:space="preserve">Iepirkuma identifikācijas Nr. </w:t>
      </w:r>
      <w:r w:rsidRPr="00EF3573">
        <w:t xml:space="preserve">PSKUS </w:t>
      </w:r>
      <w:r w:rsidR="001E0FE6" w:rsidRPr="00EF3573">
        <w:t>202</w:t>
      </w:r>
      <w:r w:rsidR="0047735D">
        <w:t>3</w:t>
      </w:r>
      <w:r w:rsidRPr="00EF3573">
        <w:t>/</w:t>
      </w:r>
      <w:r w:rsidR="0047735D">
        <w:t>70</w:t>
      </w:r>
      <w:r w:rsidR="00D530B2" w:rsidRPr="00EF3573">
        <w:t>.</w:t>
      </w:r>
    </w:p>
    <w:p w14:paraId="44EEAA14" w14:textId="77777777" w:rsidR="00564236" w:rsidRPr="00932117" w:rsidRDefault="00564236" w:rsidP="0047735D">
      <w:pPr>
        <w:tabs>
          <w:tab w:val="left" w:pos="0"/>
        </w:tabs>
        <w:spacing w:after="0" w:line="240" w:lineRule="auto"/>
        <w:ind w:right="-284"/>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47735D">
      <w:pPr>
        <w:numPr>
          <w:ilvl w:val="1"/>
          <w:numId w:val="3"/>
        </w:numPr>
        <w:tabs>
          <w:tab w:val="left" w:pos="0"/>
          <w:tab w:val="left" w:pos="993"/>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7735D">
      <w:pPr>
        <w:numPr>
          <w:ilvl w:val="1"/>
          <w:numId w:val="3"/>
        </w:numPr>
        <w:tabs>
          <w:tab w:val="left" w:pos="0"/>
          <w:tab w:val="left" w:pos="993"/>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7735D">
      <w:pPr>
        <w:numPr>
          <w:ilvl w:val="1"/>
          <w:numId w:val="3"/>
        </w:numPr>
        <w:tabs>
          <w:tab w:val="left" w:pos="0"/>
          <w:tab w:val="left" w:pos="993"/>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lastRenderedPageBreak/>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7735D">
      <w:pPr>
        <w:numPr>
          <w:ilvl w:val="1"/>
          <w:numId w:val="3"/>
        </w:numPr>
        <w:tabs>
          <w:tab w:val="left" w:pos="0"/>
          <w:tab w:val="left" w:pos="993"/>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7735D">
      <w:pPr>
        <w:numPr>
          <w:ilvl w:val="1"/>
          <w:numId w:val="3"/>
        </w:numPr>
        <w:tabs>
          <w:tab w:val="left" w:pos="0"/>
          <w:tab w:val="left" w:pos="993"/>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proofErr w:type="spellStart"/>
      <w:r w:rsidR="0066252A" w:rsidRPr="00932117">
        <w:rPr>
          <w:rFonts w:ascii="Times New Roman" w:hAnsi="Times New Roman"/>
          <w:bCs/>
          <w:sz w:val="24"/>
          <w:szCs w:val="24"/>
          <w:lang w:val="x-none" w:eastAsia="lv-LV"/>
        </w:rPr>
        <w:t>omisija</w:t>
      </w:r>
      <w:proofErr w:type="spellEnd"/>
      <w:r w:rsidR="0066252A" w:rsidRPr="00932117">
        <w:rPr>
          <w:rFonts w:ascii="Times New Roman" w:hAnsi="Times New Roman"/>
          <w:bCs/>
          <w:sz w:val="24"/>
          <w:szCs w:val="24"/>
          <w:lang w:val="x-none" w:eastAsia="lv-LV"/>
        </w:rPr>
        <w:t xml:space="preserve">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842206E" w:rsidR="0066252A" w:rsidRPr="00932117" w:rsidRDefault="0066252A" w:rsidP="0047735D">
      <w:pPr>
        <w:numPr>
          <w:ilvl w:val="1"/>
          <w:numId w:val="3"/>
        </w:numPr>
        <w:tabs>
          <w:tab w:val="left" w:pos="0"/>
          <w:tab w:val="left" w:pos="993"/>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Ja ieinteresētais </w:t>
      </w:r>
      <w:proofErr w:type="spellStart"/>
      <w:r w:rsidRPr="00932117">
        <w:rPr>
          <w:rFonts w:ascii="Times New Roman" w:hAnsi="Times New Roman"/>
          <w:sz w:val="24"/>
          <w:szCs w:val="24"/>
        </w:rPr>
        <w:t>p</w:t>
      </w:r>
      <w:r w:rsidR="0007003C" w:rsidRPr="00932117">
        <w:rPr>
          <w:rFonts w:ascii="Times New Roman" w:hAnsi="Times New Roman"/>
          <w:sz w:val="24"/>
          <w:szCs w:val="24"/>
        </w:rPr>
        <w:t>retenents</w:t>
      </w:r>
      <w:proofErr w:type="spellEnd"/>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73B065D1" w:rsidR="0066252A" w:rsidRPr="00932117" w:rsidRDefault="0066252A" w:rsidP="0047735D">
      <w:pPr>
        <w:numPr>
          <w:ilvl w:val="1"/>
          <w:numId w:val="3"/>
        </w:numPr>
        <w:tabs>
          <w:tab w:val="left" w:pos="0"/>
          <w:tab w:val="left" w:pos="993"/>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 xml:space="preserve">ieinteresētais </w:t>
      </w:r>
      <w:proofErr w:type="spellStart"/>
      <w:r w:rsidRPr="00932117">
        <w:rPr>
          <w:rFonts w:ascii="Times New Roman" w:hAnsi="Times New Roman"/>
          <w:bCs/>
          <w:sz w:val="24"/>
          <w:szCs w:val="24"/>
          <w:lang w:eastAsia="lv-LV"/>
        </w:rPr>
        <w:t>p</w:t>
      </w:r>
      <w:r w:rsidR="0007003C" w:rsidRPr="00932117">
        <w:rPr>
          <w:rFonts w:ascii="Times New Roman" w:hAnsi="Times New Roman"/>
          <w:bCs/>
          <w:sz w:val="24"/>
          <w:szCs w:val="24"/>
          <w:lang w:eastAsia="lv-LV"/>
        </w:rPr>
        <w:t>retednent</w:t>
      </w:r>
      <w:r w:rsidRPr="00932117">
        <w:rPr>
          <w:rFonts w:ascii="Times New Roman" w:hAnsi="Times New Roman"/>
          <w:bCs/>
          <w:sz w:val="24"/>
          <w:szCs w:val="24"/>
          <w:lang w:eastAsia="lv-LV"/>
        </w:rPr>
        <w:t>s</w:t>
      </w:r>
      <w:proofErr w:type="spellEnd"/>
      <w:r w:rsidRPr="00932117">
        <w:rPr>
          <w:rFonts w:ascii="Times New Roman" w:hAnsi="Times New Roman"/>
          <w:bCs/>
          <w:sz w:val="24"/>
          <w:szCs w:val="24"/>
          <w:lang w:eastAsia="lv-LV"/>
        </w:rPr>
        <w:t xml:space="preserve"> </w:t>
      </w:r>
      <w:r w:rsidRPr="00932117">
        <w:rPr>
          <w:rFonts w:ascii="Times New Roman" w:hAnsi="Times New Roman"/>
          <w:bCs/>
          <w:sz w:val="24"/>
          <w:szCs w:val="24"/>
          <w:lang w:val="x-none" w:eastAsia="lv-LV"/>
        </w:rPr>
        <w:t xml:space="preserve">uzdod rakstiskā veidā, adresējot tos </w:t>
      </w:r>
      <w:r w:rsidR="00C65BD7" w:rsidRPr="00250780">
        <w:rPr>
          <w:rFonts w:ascii="Times New Roman" w:hAnsi="Times New Roman"/>
          <w:bCs/>
          <w:sz w:val="24"/>
          <w:szCs w:val="24"/>
          <w:lang w:eastAsia="lv-LV"/>
        </w:rPr>
        <w:t>K</w:t>
      </w:r>
      <w:proofErr w:type="spellStart"/>
      <w:r w:rsidRPr="00932117">
        <w:rPr>
          <w:rFonts w:ascii="Times New Roman" w:hAnsi="Times New Roman"/>
          <w:bCs/>
          <w:sz w:val="24"/>
          <w:szCs w:val="24"/>
          <w:lang w:val="x-none" w:eastAsia="lv-LV"/>
        </w:rPr>
        <w:t>omisijai</w:t>
      </w:r>
      <w:proofErr w:type="spellEnd"/>
      <w:r w:rsidRPr="00932117">
        <w:rPr>
          <w:rFonts w:ascii="Times New Roman" w:hAnsi="Times New Roman"/>
          <w:bCs/>
          <w:sz w:val="24"/>
          <w:szCs w:val="24"/>
          <w:lang w:val="x-none" w:eastAsia="lv-LV"/>
        </w:rPr>
        <w:t xml:space="preserve"> </w:t>
      </w:r>
      <w:r w:rsidR="00001E17" w:rsidRPr="00250780">
        <w:rPr>
          <w:rFonts w:ascii="Times New Roman" w:hAnsi="Times New Roman"/>
          <w:bCs/>
          <w:sz w:val="24"/>
          <w:szCs w:val="24"/>
          <w:lang w:eastAsia="lv-LV"/>
        </w:rPr>
        <w:t xml:space="preserve">un ievietojot tos EIS </w:t>
      </w:r>
      <w:hyperlink r:id="rId11" w:history="1">
        <w:r w:rsidR="00001E17" w:rsidRPr="00250780">
          <w:rPr>
            <w:rFonts w:ascii="Times New Roman" w:hAnsi="Times New Roman"/>
            <w:sz w:val="24"/>
            <w:szCs w:val="24"/>
            <w:lang w:eastAsia="lv-LV"/>
          </w:rPr>
          <w:t>www.eis.gov.lv</w:t>
        </w:r>
      </w:hyperlink>
      <w:r w:rsidR="00001E17" w:rsidRPr="00250780">
        <w:rPr>
          <w:rFonts w:ascii="Times New Roman" w:hAnsi="Times New Roman"/>
          <w:bCs/>
          <w:sz w:val="24"/>
          <w:szCs w:val="24"/>
          <w:lang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47735D">
        <w:rPr>
          <w:rFonts w:ascii="Times New Roman" w:eastAsia="Times New Roman" w:hAnsi="Times New Roman"/>
          <w:sz w:val="24"/>
          <w:szCs w:val="24"/>
        </w:rPr>
        <w:fldChar w:fldCharType="begin"/>
      </w:r>
      <w:r w:rsidR="0047735D">
        <w:rPr>
          <w:rFonts w:ascii="Times New Roman" w:eastAsia="Times New Roman" w:hAnsi="Times New Roman"/>
          <w:sz w:val="24"/>
          <w:szCs w:val="24"/>
        </w:rPr>
        <w:instrText xml:space="preserve"> HYPERLINK "mailto:</w:instrText>
      </w:r>
      <w:r w:rsidR="0047735D" w:rsidRPr="0047735D">
        <w:rPr>
          <w:rFonts w:ascii="Times New Roman" w:eastAsia="Times New Roman" w:hAnsi="Times New Roman"/>
          <w:sz w:val="24"/>
          <w:szCs w:val="24"/>
        </w:rPr>
        <w:instrText>andrejs.vessers@stradini.lv</w:instrText>
      </w:r>
      <w:r w:rsidR="0047735D">
        <w:rPr>
          <w:rFonts w:ascii="Times New Roman" w:eastAsia="Times New Roman" w:hAnsi="Times New Roman"/>
          <w:sz w:val="24"/>
          <w:szCs w:val="24"/>
        </w:rPr>
        <w:instrText xml:space="preserve">" </w:instrText>
      </w:r>
      <w:r w:rsidR="0047735D">
        <w:rPr>
          <w:rFonts w:ascii="Times New Roman" w:eastAsia="Times New Roman" w:hAnsi="Times New Roman"/>
          <w:sz w:val="24"/>
          <w:szCs w:val="24"/>
        </w:rPr>
        <w:fldChar w:fldCharType="separate"/>
      </w:r>
      <w:r w:rsidR="0047735D" w:rsidRPr="004838E1">
        <w:rPr>
          <w:rStyle w:val="Hyperlink"/>
          <w:rFonts w:ascii="Times New Roman" w:eastAsia="Times New Roman" w:hAnsi="Times New Roman"/>
          <w:sz w:val="24"/>
          <w:szCs w:val="24"/>
        </w:rPr>
        <w:t>andrejs.vessers@stradini.lv</w:t>
      </w:r>
      <w:r w:rsidR="0047735D">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7735D">
      <w:pPr>
        <w:numPr>
          <w:ilvl w:val="1"/>
          <w:numId w:val="3"/>
        </w:numPr>
        <w:tabs>
          <w:tab w:val="left" w:pos="0"/>
          <w:tab w:val="left" w:pos="993"/>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w:t>
      </w:r>
      <w:proofErr w:type="spellStart"/>
      <w:r w:rsidRPr="00932117">
        <w:rPr>
          <w:rFonts w:ascii="Times New Roman" w:eastAsia="Times New Roman" w:hAnsi="Times New Roman"/>
          <w:bCs/>
          <w:sz w:val="24"/>
          <w:szCs w:val="24"/>
          <w:lang w:eastAsia="lv-LV"/>
        </w:rPr>
        <w:t>nosūta</w:t>
      </w:r>
      <w:proofErr w:type="spellEnd"/>
      <w:r w:rsidRPr="00932117">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7735D">
      <w:pPr>
        <w:numPr>
          <w:ilvl w:val="1"/>
          <w:numId w:val="3"/>
        </w:numPr>
        <w:tabs>
          <w:tab w:val="left" w:pos="0"/>
          <w:tab w:val="left" w:pos="993"/>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7735D">
      <w:pPr>
        <w:pStyle w:val="ListParagraph"/>
        <w:numPr>
          <w:ilvl w:val="1"/>
          <w:numId w:val="3"/>
        </w:numPr>
        <w:tabs>
          <w:tab w:val="left" w:pos="0"/>
          <w:tab w:val="left" w:pos="993"/>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7735D">
      <w:pPr>
        <w:pStyle w:val="ListParagraph"/>
        <w:numPr>
          <w:ilvl w:val="2"/>
          <w:numId w:val="3"/>
        </w:numPr>
        <w:tabs>
          <w:tab w:val="left" w:pos="0"/>
          <w:tab w:val="left" w:pos="993"/>
          <w:tab w:val="left" w:pos="1134"/>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7735D">
      <w:pPr>
        <w:pStyle w:val="ListParagraph"/>
        <w:numPr>
          <w:ilvl w:val="2"/>
          <w:numId w:val="3"/>
        </w:numPr>
        <w:tabs>
          <w:tab w:val="left" w:pos="0"/>
          <w:tab w:val="left" w:pos="993"/>
          <w:tab w:val="left" w:pos="1134"/>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7735D">
      <w:pPr>
        <w:pStyle w:val="ListParagraph"/>
        <w:numPr>
          <w:ilvl w:val="1"/>
          <w:numId w:val="3"/>
        </w:numPr>
        <w:tabs>
          <w:tab w:val="left" w:pos="0"/>
          <w:tab w:val="left" w:pos="993"/>
        </w:tabs>
        <w:ind w:left="0" w:firstLine="567"/>
        <w:jc w:val="both"/>
        <w:outlineLvl w:val="2"/>
      </w:pPr>
      <w:r w:rsidRPr="00932117">
        <w:t>Sagatavojot piedāvājumu, pretendents ievēro, ka:</w:t>
      </w:r>
    </w:p>
    <w:p w14:paraId="741B21BE" w14:textId="6039CF88" w:rsidR="007A73FB" w:rsidRPr="00932117" w:rsidRDefault="007A73FB" w:rsidP="0047735D">
      <w:pPr>
        <w:pStyle w:val="ListParagraph"/>
        <w:numPr>
          <w:ilvl w:val="2"/>
          <w:numId w:val="3"/>
        </w:numPr>
        <w:tabs>
          <w:tab w:val="left" w:pos="0"/>
          <w:tab w:val="left" w:pos="993"/>
          <w:tab w:val="left" w:pos="1134"/>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7735D">
      <w:pPr>
        <w:pStyle w:val="ListParagraph"/>
        <w:numPr>
          <w:ilvl w:val="2"/>
          <w:numId w:val="3"/>
        </w:numPr>
        <w:tabs>
          <w:tab w:val="left" w:pos="0"/>
          <w:tab w:val="left" w:pos="1134"/>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7735D">
      <w:pPr>
        <w:pStyle w:val="ListParagraph"/>
        <w:numPr>
          <w:ilvl w:val="2"/>
          <w:numId w:val="3"/>
        </w:numPr>
        <w:tabs>
          <w:tab w:val="left" w:pos="0"/>
          <w:tab w:val="left" w:pos="1134"/>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7735D">
      <w:pPr>
        <w:pStyle w:val="ListParagraph"/>
        <w:numPr>
          <w:ilvl w:val="1"/>
          <w:numId w:val="3"/>
        </w:numPr>
        <w:tabs>
          <w:tab w:val="left" w:pos="0"/>
          <w:tab w:val="left" w:pos="1134"/>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7735D">
      <w:pPr>
        <w:pStyle w:val="ListParagraph"/>
        <w:numPr>
          <w:ilvl w:val="1"/>
          <w:numId w:val="3"/>
        </w:numPr>
        <w:tabs>
          <w:tab w:val="left" w:pos="0"/>
          <w:tab w:val="left" w:pos="1134"/>
        </w:tabs>
        <w:ind w:left="0" w:firstLine="567"/>
        <w:jc w:val="both"/>
        <w:outlineLvl w:val="2"/>
      </w:pPr>
      <w:r w:rsidRPr="00932117">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w:t>
      </w:r>
      <w:r w:rsidRPr="00932117">
        <w:lastRenderedPageBreak/>
        <w:t>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7735D">
      <w:pPr>
        <w:pStyle w:val="ListParagraph"/>
        <w:numPr>
          <w:ilvl w:val="1"/>
          <w:numId w:val="3"/>
        </w:numPr>
        <w:tabs>
          <w:tab w:val="left" w:pos="0"/>
          <w:tab w:val="left" w:pos="1134"/>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16632F" w:rsidRDefault="007A73FB" w:rsidP="0047735D">
      <w:pPr>
        <w:pStyle w:val="ListParagraph"/>
        <w:numPr>
          <w:ilvl w:val="1"/>
          <w:numId w:val="3"/>
        </w:numPr>
        <w:tabs>
          <w:tab w:val="left" w:pos="0"/>
          <w:tab w:val="left" w:pos="1134"/>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piekļuve piedāvājumā ietvertajai informācijai, tostarp piedāvājums nedrīkst saturēt datorvīrusus un citas kaitīgas </w:t>
      </w:r>
      <w:r w:rsidRPr="0016632F">
        <w:t>programmatūras vai to ģeneratorus.</w:t>
      </w:r>
    </w:p>
    <w:p w14:paraId="03E767C8" w14:textId="630086C3" w:rsidR="00104BA4" w:rsidRPr="0016632F" w:rsidRDefault="00104BA4" w:rsidP="00E8190F">
      <w:pPr>
        <w:pStyle w:val="ListParagraph"/>
        <w:numPr>
          <w:ilvl w:val="1"/>
          <w:numId w:val="3"/>
        </w:numPr>
        <w:tabs>
          <w:tab w:val="left" w:pos="0"/>
          <w:tab w:val="left" w:pos="1134"/>
        </w:tabs>
        <w:ind w:left="0" w:firstLine="567"/>
        <w:jc w:val="both"/>
        <w:outlineLvl w:val="2"/>
      </w:pPr>
      <w:r w:rsidRPr="0016632F">
        <w:t>Pretendents piedāvājuma dokumentus paraksta ar drošu elektronisko parakstu un laika zīmogu vai ar EIS piedāvāto elektronisko parakstu.</w:t>
      </w:r>
    </w:p>
    <w:p w14:paraId="339E4024" w14:textId="77777777" w:rsidR="007A73FB" w:rsidRPr="0016632F"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16632F">
        <w:rPr>
          <w:rFonts w:ascii="Times New Roman" w:hAnsi="Times New Roman"/>
          <w:bCs/>
          <w:iCs/>
          <w:vanish/>
          <w:sz w:val="24"/>
          <w:szCs w:val="24"/>
          <w:lang w:val="x-none"/>
        </w:rPr>
        <w:t xml:space="preserve"> </w:t>
      </w:r>
    </w:p>
    <w:p w14:paraId="590F678A" w14:textId="77777777" w:rsidR="007A73FB" w:rsidRPr="0016632F"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6632F">
        <w:rPr>
          <w:rFonts w:ascii="Times New Roman" w:hAnsi="Times New Roman"/>
          <w:b/>
          <w:bCs/>
          <w:sz w:val="24"/>
          <w:szCs w:val="24"/>
          <w:lang w:val="x-none"/>
        </w:rPr>
        <w:t>Piedāvājuma iesniegšana</w:t>
      </w:r>
      <w:bookmarkEnd w:id="1"/>
      <w:bookmarkEnd w:id="2"/>
      <w:bookmarkEnd w:id="3"/>
      <w:bookmarkEnd w:id="4"/>
      <w:bookmarkEnd w:id="5"/>
      <w:r w:rsidRPr="0016632F">
        <w:rPr>
          <w:rFonts w:ascii="Times New Roman" w:hAnsi="Times New Roman"/>
          <w:b/>
          <w:bCs/>
          <w:sz w:val="24"/>
          <w:szCs w:val="24"/>
        </w:rPr>
        <w:t xml:space="preserve"> un atvēršana</w:t>
      </w:r>
    </w:p>
    <w:p w14:paraId="3F03F765" w14:textId="712288EE"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16632F">
        <w:t xml:space="preserve">Pretendents piedāvājumu iesniedz līdz </w:t>
      </w:r>
      <w:r w:rsidRPr="00E8190F">
        <w:rPr>
          <w:b/>
          <w:highlight w:val="yellow"/>
        </w:rPr>
        <w:t>202</w:t>
      </w:r>
      <w:r w:rsidR="00E8190F" w:rsidRPr="00E8190F">
        <w:rPr>
          <w:b/>
          <w:highlight w:val="yellow"/>
        </w:rPr>
        <w:t>3</w:t>
      </w:r>
      <w:r w:rsidRPr="00E8190F">
        <w:rPr>
          <w:b/>
          <w:highlight w:val="yellow"/>
        </w:rPr>
        <w:t>. gada</w:t>
      </w:r>
      <w:r w:rsidR="00ED7DCE" w:rsidRPr="00E8190F">
        <w:rPr>
          <w:b/>
          <w:highlight w:val="yellow"/>
        </w:rPr>
        <w:t xml:space="preserve"> </w:t>
      </w:r>
      <w:r w:rsidR="00E8190F" w:rsidRPr="00E8190F">
        <w:rPr>
          <w:b/>
          <w:highlight w:val="yellow"/>
        </w:rPr>
        <w:t>__</w:t>
      </w:r>
      <w:r w:rsidR="008162E9" w:rsidRPr="00E8190F">
        <w:rPr>
          <w:b/>
          <w:highlight w:val="yellow"/>
        </w:rPr>
        <w:t>.</w:t>
      </w:r>
      <w:r w:rsidR="00E8190F" w:rsidRPr="00E8190F">
        <w:rPr>
          <w:b/>
          <w:highlight w:val="yellow"/>
        </w:rPr>
        <w:t>_____</w:t>
      </w:r>
      <w:r w:rsidR="00566FDF" w:rsidRPr="0016632F">
        <w:rPr>
          <w:b/>
        </w:rPr>
        <w:t xml:space="preserve"> </w:t>
      </w:r>
      <w:r w:rsidR="00716DB1" w:rsidRPr="0016632F">
        <w:rPr>
          <w:b/>
        </w:rPr>
        <w:t>plkst. 10.00</w:t>
      </w:r>
      <w:r w:rsidRPr="0016632F">
        <w:t>, EIS e-konkursu apakšsistēmā</w:t>
      </w:r>
      <w:r w:rsidRPr="0016632F">
        <w:rPr>
          <w:bCs/>
        </w:rPr>
        <w:t>.</w:t>
      </w:r>
      <w:bookmarkEnd w:id="6"/>
    </w:p>
    <w:p w14:paraId="1636A480" w14:textId="77777777"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r w:rsidRPr="0016632F">
        <w:rPr>
          <w:rFonts w:eastAsia="MS Mincho"/>
          <w:b/>
          <w:u w:val="single"/>
        </w:rPr>
        <w:t>Ārpus EIS e-konkursu apakšsistēmas iesniegtie piedāvājumi tiks atzīti par neatbilstošiem Nolikuma prasībām un nosūtīti atpakaļ iesniedzējam</w:t>
      </w:r>
      <w:r w:rsidRPr="0016632F">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16632F">
        <w:rPr>
          <w:bCs/>
        </w:rPr>
        <w:t>Pretendentu atlasi, piedāvājumu atbilstības pārbaudi un</w:t>
      </w:r>
      <w:r w:rsidRPr="00932117">
        <w:rPr>
          <w:bCs/>
        </w:rPr>
        <w:t xml:space="preserve">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250780">
        <w:rPr>
          <w:rFonts w:ascii="Times New Roman" w:hAnsi="Times New Roman"/>
          <w:sz w:val="24"/>
          <w:szCs w:val="24"/>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proofErr w:type="spellStart"/>
      <w:r w:rsidRPr="00932117">
        <w:rPr>
          <w:rFonts w:ascii="Times New Roman" w:hAnsi="Times New Roman"/>
          <w:b/>
          <w:bCs/>
          <w:sz w:val="24"/>
          <w:szCs w:val="24"/>
          <w:lang w:val="en-GB"/>
        </w:rPr>
        <w:t>Iepirkumā</w:t>
      </w:r>
      <w:proofErr w:type="spellEnd"/>
    </w:p>
    <w:p w14:paraId="5E965ECC" w14:textId="44BC1604"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5"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2913388A" w:rsidR="0066252A"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16CC4F5" w14:textId="4F0BB08F" w:rsidR="00E8190F" w:rsidRPr="00E8190F" w:rsidRDefault="00E8190F" w:rsidP="00E8190F">
      <w:pPr>
        <w:pStyle w:val="ListParagraph"/>
        <w:numPr>
          <w:ilvl w:val="2"/>
          <w:numId w:val="7"/>
        </w:numPr>
        <w:tabs>
          <w:tab w:val="left" w:pos="1418"/>
        </w:tabs>
        <w:ind w:left="0" w:right="-142" w:firstLine="567"/>
        <w:jc w:val="both"/>
        <w:rPr>
          <w:bCs/>
        </w:rPr>
      </w:pPr>
      <w:r w:rsidRPr="00E8190F">
        <w:rPr>
          <w:bCs/>
        </w:rPr>
        <w:t>Komisija par uzvarētāju atzīst pretendentu, kurš izraudzīts atbilstoši Nolikumā noteiktajām prasībām un kritērijiem un nav izslēdzams no dalības Iepirkumā saskaņā ar PIL 9. panta astoto daļu.</w:t>
      </w:r>
    </w:p>
    <w:p w14:paraId="364CE5DB" w14:textId="712D2980" w:rsidR="0066252A" w:rsidRPr="00932117" w:rsidRDefault="0066252A" w:rsidP="00E8190F">
      <w:pPr>
        <w:tabs>
          <w:tab w:val="left" w:pos="0"/>
        </w:tabs>
        <w:spacing w:after="0" w:line="240" w:lineRule="auto"/>
        <w:ind w:left="567" w:right="-142"/>
        <w:jc w:val="both"/>
        <w:rPr>
          <w:rFonts w:ascii="Times New Roman" w:hAnsi="Times New Roman"/>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643A87">
            <w:pPr>
              <w:spacing w:after="0" w:line="240" w:lineRule="auto"/>
              <w:ind w:right="-58"/>
              <w:jc w:val="both"/>
              <w:rPr>
                <w:rFonts w:ascii="Times New Roman" w:hAnsi="Times New Roman"/>
                <w:i/>
                <w:iCs/>
              </w:rPr>
            </w:pPr>
          </w:p>
          <w:p w14:paraId="207B0F24" w14:textId="07670C50" w:rsidR="0066252A" w:rsidRPr="00932117" w:rsidRDefault="0066252A" w:rsidP="00643A87">
            <w:pPr>
              <w:spacing w:after="0" w:line="240" w:lineRule="auto"/>
              <w:ind w:right="-58"/>
              <w:jc w:val="both"/>
              <w:rPr>
                <w:rFonts w:ascii="Times New Roman" w:hAnsi="Times New Roman"/>
              </w:rPr>
            </w:pPr>
            <w:r w:rsidRPr="00932117">
              <w:rPr>
                <w:rFonts w:ascii="Times New Roman" w:hAnsi="Times New Roman"/>
              </w:rPr>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16">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t>10.2.</w:t>
            </w:r>
            <w:r w:rsidRPr="00932117">
              <w:rPr>
                <w:rFonts w:ascii="Times New Roman" w:hAnsi="Times New Roman"/>
              </w:rPr>
              <w:t xml:space="preserve"> </w:t>
            </w:r>
            <w:r w:rsidRPr="00932117">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lastRenderedPageBreak/>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11.2. Personas, uz kuras iespējām pretendents balstās, rakstisks 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pretendents, iesniedzot pieteikumu, balstās uz citu komersantu saimniecisko </w:t>
            </w:r>
            <w:r w:rsidRPr="00932117">
              <w:rPr>
                <w:rFonts w:ascii="Times New Roman" w:eastAsia="Times New Roman" w:hAnsi="Times New Roman"/>
                <w:sz w:val="24"/>
                <w:szCs w:val="24"/>
              </w:rPr>
              <w:lastRenderedPageBreak/>
              <w:t>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70D72" w14:textId="11B0B713" w:rsidR="002E6F2D"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w:t>
            </w:r>
            <w:r w:rsidR="00D91C11">
              <w:rPr>
                <w:rFonts w:ascii="Times New Roman" w:eastAsia="Times New Roman" w:hAnsi="Times New Roman"/>
                <w:sz w:val="24"/>
                <w:szCs w:val="24"/>
              </w:rPr>
              <w:t>(</w:t>
            </w:r>
            <w:r w:rsidR="00F11A8C" w:rsidRPr="00932117">
              <w:rPr>
                <w:rFonts w:ascii="Times New Roman" w:eastAsia="Times New Roman" w:hAnsi="Times New Roman"/>
                <w:sz w:val="24"/>
                <w:szCs w:val="24"/>
              </w:rPr>
              <w:t xml:space="preserve">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w:t>
            </w:r>
            <w:r w:rsidR="00F11A8C" w:rsidRPr="00932117">
              <w:rPr>
                <w:rFonts w:ascii="Times New Roman" w:eastAsia="Times New Roman" w:hAnsi="Times New Roman"/>
                <w:sz w:val="24"/>
                <w:szCs w:val="24"/>
              </w:rPr>
              <w:lastRenderedPageBreak/>
              <w:t>ar pretendenta reģistrāci</w:t>
            </w:r>
            <w:r w:rsidR="00D91C11">
              <w:rPr>
                <w:rFonts w:ascii="Times New Roman" w:eastAsia="Times New Roman" w:hAnsi="Times New Roman"/>
                <w:sz w:val="24"/>
                <w:szCs w:val="24"/>
              </w:rPr>
              <w:t xml:space="preserve">jas valsts normatīvajiem aktiem) </w:t>
            </w:r>
            <w:r w:rsidR="00D91C11" w:rsidRPr="00D91C11">
              <w:rPr>
                <w:rFonts w:ascii="Times New Roman" w:eastAsia="Times New Roman" w:hAnsi="Times New Roman"/>
                <w:sz w:val="24"/>
                <w:szCs w:val="24"/>
              </w:rPr>
              <w:t xml:space="preserve">ar darbības sfēru - </w:t>
            </w:r>
            <w:r w:rsidR="009A54DA" w:rsidRPr="00080BD4">
              <w:rPr>
                <w:rFonts w:ascii="Times New Roman" w:eastAsia="Times New Roman" w:hAnsi="Times New Roman"/>
                <w:sz w:val="24"/>
                <w:szCs w:val="24"/>
              </w:rPr>
              <w:t>Ceļu būvdarbu vadīšana</w:t>
            </w:r>
            <w:r w:rsidR="00D91C11">
              <w:rPr>
                <w:rFonts w:ascii="Times New Roman" w:eastAsia="Times New Roman" w:hAnsi="Times New Roman"/>
                <w:sz w:val="24"/>
                <w:szCs w:val="24"/>
              </w:rPr>
              <w:t>.</w:t>
            </w:r>
          </w:p>
          <w:p w14:paraId="2CA5F05F" w14:textId="0A7EF7A7" w:rsidR="00D91C11" w:rsidRPr="00932117" w:rsidRDefault="00D91C11" w:rsidP="00F11A8C">
            <w:pPr>
              <w:spacing w:after="0" w:line="240" w:lineRule="auto"/>
              <w:ind w:right="-58"/>
              <w:jc w:val="both"/>
              <w:rPr>
                <w:rFonts w:ascii="Times New Roman" w:eastAsia="Times New Roman" w:hAnsi="Times New Roman"/>
                <w:bCs/>
                <w:sz w:val="24"/>
                <w:szCs w:val="24"/>
              </w:rPr>
            </w:pPr>
            <w:r w:rsidRPr="00D91C11">
              <w:rPr>
                <w:rFonts w:ascii="Times New Roman" w:eastAsia="Times New Roman" w:hAnsi="Times New Roman"/>
                <w:bCs/>
                <w:sz w:val="24"/>
                <w:szCs w:val="24"/>
              </w:rPr>
              <w:t>Prasība attiecas arī uz personālsabiedrības biedru, piegādātāju apvienības dalībnieku (ja piedāvājumu iesniedz personālsabiedrība vai piegādātāju apvienība) vai apakšuzņēmēju (ja pretendents p</w:t>
            </w:r>
            <w:bookmarkStart w:id="8" w:name="_GoBack"/>
            <w:bookmarkEnd w:id="8"/>
            <w:r w:rsidRPr="00D91C11">
              <w:rPr>
                <w:rFonts w:ascii="Times New Roman" w:eastAsia="Times New Roman" w:hAnsi="Times New Roman"/>
                <w:bCs/>
                <w:sz w:val="24"/>
                <w:szCs w:val="24"/>
              </w:rPr>
              <w:t>lāno piesaistīt apakšuzņēmēju).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87E59D" w14:textId="3510F9A7" w:rsidR="0082174F" w:rsidRDefault="00B261E5" w:rsidP="00D94307">
            <w:pPr>
              <w:widowControl w:val="0"/>
              <w:tabs>
                <w:tab w:val="left" w:pos="426"/>
                <w:tab w:val="left" w:pos="567"/>
                <w:tab w:val="left" w:pos="993"/>
              </w:tabs>
              <w:spacing w:after="0" w:line="240" w:lineRule="auto"/>
              <w:jc w:val="both"/>
              <w:outlineLvl w:val="0"/>
              <w:rPr>
                <w:rFonts w:ascii="Times New Roman" w:hAnsi="Times New Roman"/>
                <w:sz w:val="24"/>
                <w:szCs w:val="24"/>
              </w:rPr>
            </w:pPr>
            <w:r w:rsidRPr="00932117">
              <w:rPr>
                <w:rFonts w:ascii="Times New Roman" w:hAnsi="Times New Roman"/>
                <w:sz w:val="24"/>
                <w:szCs w:val="24"/>
              </w:rPr>
              <w:lastRenderedPageBreak/>
              <w:t>10.</w:t>
            </w:r>
            <w:r w:rsidR="00E54147" w:rsidRPr="00932117">
              <w:rPr>
                <w:rFonts w:ascii="Times New Roman" w:hAnsi="Times New Roman"/>
                <w:sz w:val="24"/>
                <w:szCs w:val="24"/>
              </w:rPr>
              <w:t>5</w:t>
            </w:r>
            <w:r w:rsidRPr="00932117">
              <w:rPr>
                <w:rFonts w:ascii="Times New Roman" w:hAnsi="Times New Roman"/>
                <w:sz w:val="24"/>
                <w:szCs w:val="24"/>
              </w:rPr>
              <w:t xml:space="preserve">. </w:t>
            </w:r>
            <w:r w:rsidR="00D94307" w:rsidRPr="00D94307">
              <w:rPr>
                <w:rFonts w:ascii="Times New Roman" w:hAnsi="Times New Roman"/>
                <w:sz w:val="24"/>
                <w:szCs w:val="24"/>
              </w:rPr>
              <w:t>Pretendentam iepriekšējo 5</w:t>
            </w:r>
            <w:r w:rsidR="00D94307">
              <w:rPr>
                <w:rFonts w:ascii="Times New Roman" w:hAnsi="Times New Roman"/>
                <w:sz w:val="24"/>
                <w:szCs w:val="24"/>
              </w:rPr>
              <w:t xml:space="preserve"> (piecu) gadu laikā (t.i.., 20</w:t>
            </w:r>
            <w:r w:rsidR="009A54DA">
              <w:rPr>
                <w:rFonts w:ascii="Times New Roman" w:hAnsi="Times New Roman"/>
                <w:sz w:val="24"/>
                <w:szCs w:val="24"/>
              </w:rPr>
              <w:t>18</w:t>
            </w:r>
            <w:r w:rsidR="00D94307" w:rsidRPr="00D94307">
              <w:rPr>
                <w:rFonts w:ascii="Times New Roman" w:hAnsi="Times New Roman"/>
                <w:sz w:val="24"/>
                <w:szCs w:val="24"/>
              </w:rPr>
              <w:t>., 20</w:t>
            </w:r>
            <w:r w:rsidR="009A54DA">
              <w:rPr>
                <w:rFonts w:ascii="Times New Roman" w:hAnsi="Times New Roman"/>
                <w:sz w:val="24"/>
                <w:szCs w:val="24"/>
              </w:rPr>
              <w:t>19</w:t>
            </w:r>
            <w:r w:rsidR="00D94307">
              <w:rPr>
                <w:rFonts w:ascii="Times New Roman" w:hAnsi="Times New Roman"/>
                <w:sz w:val="24"/>
                <w:szCs w:val="24"/>
              </w:rPr>
              <w:t>., 20</w:t>
            </w:r>
            <w:r w:rsidR="009A54DA">
              <w:rPr>
                <w:rFonts w:ascii="Times New Roman" w:hAnsi="Times New Roman"/>
                <w:sz w:val="24"/>
                <w:szCs w:val="24"/>
              </w:rPr>
              <w:t>20</w:t>
            </w:r>
            <w:r w:rsidR="00D94307">
              <w:rPr>
                <w:rFonts w:ascii="Times New Roman" w:hAnsi="Times New Roman"/>
                <w:sz w:val="24"/>
                <w:szCs w:val="24"/>
              </w:rPr>
              <w:t>., 20</w:t>
            </w:r>
            <w:r w:rsidR="009A54DA">
              <w:rPr>
                <w:rFonts w:ascii="Times New Roman" w:hAnsi="Times New Roman"/>
                <w:sz w:val="24"/>
                <w:szCs w:val="24"/>
              </w:rPr>
              <w:t>21</w:t>
            </w:r>
            <w:r w:rsidR="00D94307">
              <w:rPr>
                <w:rFonts w:ascii="Times New Roman" w:hAnsi="Times New Roman"/>
                <w:sz w:val="24"/>
                <w:szCs w:val="24"/>
              </w:rPr>
              <w:t>., 20</w:t>
            </w:r>
            <w:r w:rsidR="005B2ADC">
              <w:rPr>
                <w:rFonts w:ascii="Times New Roman" w:hAnsi="Times New Roman"/>
                <w:sz w:val="24"/>
                <w:szCs w:val="24"/>
              </w:rPr>
              <w:t>2</w:t>
            </w:r>
            <w:r w:rsidR="009A54DA">
              <w:rPr>
                <w:rFonts w:ascii="Times New Roman" w:hAnsi="Times New Roman"/>
                <w:sz w:val="24"/>
                <w:szCs w:val="24"/>
              </w:rPr>
              <w:t>2</w:t>
            </w:r>
            <w:r w:rsidR="00D94307">
              <w:rPr>
                <w:rFonts w:ascii="Times New Roman" w:hAnsi="Times New Roman"/>
                <w:sz w:val="24"/>
                <w:szCs w:val="24"/>
              </w:rPr>
              <w:t>. un 202</w:t>
            </w:r>
            <w:r w:rsidR="009A54DA">
              <w:rPr>
                <w:rFonts w:ascii="Times New Roman" w:hAnsi="Times New Roman"/>
                <w:sz w:val="24"/>
                <w:szCs w:val="24"/>
              </w:rPr>
              <w:t>3</w:t>
            </w:r>
            <w:r w:rsidR="00D94307" w:rsidRPr="00D94307">
              <w:rPr>
                <w:rFonts w:ascii="Times New Roman" w:hAnsi="Times New Roman"/>
                <w:sz w:val="24"/>
                <w:szCs w:val="24"/>
              </w:rPr>
              <w:t>.gadā līdz piedāvājumu iesniegšanas dienai) ir bijusi pieredze vismaz 1 (viena) līdzvērtīga līguma izpildē, kurā veikti kādi no līguma priekšmetā norādītajiem darbiem, kuru</w:t>
            </w:r>
            <w:r w:rsidR="000A3C81">
              <w:rPr>
                <w:rFonts w:ascii="Times New Roman" w:hAnsi="Times New Roman"/>
                <w:sz w:val="24"/>
                <w:szCs w:val="24"/>
              </w:rPr>
              <w:t xml:space="preserve"> izmaksas ir ne mazāk kā  EUR  </w:t>
            </w:r>
            <w:r w:rsidR="009A54DA" w:rsidRPr="009A54DA">
              <w:rPr>
                <w:rFonts w:ascii="Times New Roman" w:hAnsi="Times New Roman"/>
                <w:sz w:val="24"/>
                <w:szCs w:val="24"/>
                <w:highlight w:val="yellow"/>
              </w:rPr>
              <w:t>2</w:t>
            </w:r>
            <w:r w:rsidR="000A3C81" w:rsidRPr="009A54DA">
              <w:rPr>
                <w:rFonts w:ascii="Times New Roman" w:hAnsi="Times New Roman"/>
                <w:sz w:val="24"/>
                <w:szCs w:val="24"/>
                <w:highlight w:val="yellow"/>
              </w:rPr>
              <w:t>0 000.00 (</w:t>
            </w:r>
            <w:r w:rsidR="009A54DA" w:rsidRPr="009A54DA">
              <w:rPr>
                <w:rFonts w:ascii="Times New Roman" w:hAnsi="Times New Roman"/>
                <w:sz w:val="24"/>
                <w:szCs w:val="24"/>
                <w:highlight w:val="yellow"/>
              </w:rPr>
              <w:t>div</w:t>
            </w:r>
            <w:r w:rsidR="00D94307" w:rsidRPr="009A54DA">
              <w:rPr>
                <w:rFonts w:ascii="Times New Roman" w:hAnsi="Times New Roman"/>
                <w:sz w:val="24"/>
                <w:szCs w:val="24"/>
                <w:highlight w:val="yellow"/>
              </w:rPr>
              <w:t xml:space="preserve">desmit tūkstoši </w:t>
            </w:r>
            <w:proofErr w:type="spellStart"/>
            <w:r w:rsidR="00D94307" w:rsidRPr="009A54DA">
              <w:rPr>
                <w:rFonts w:ascii="Times New Roman" w:hAnsi="Times New Roman"/>
                <w:sz w:val="24"/>
                <w:szCs w:val="24"/>
                <w:highlight w:val="yellow"/>
              </w:rPr>
              <w:t>euro</w:t>
            </w:r>
            <w:proofErr w:type="spellEnd"/>
            <w:r w:rsidR="00D94307" w:rsidRPr="009A54DA">
              <w:rPr>
                <w:rFonts w:ascii="Times New Roman" w:hAnsi="Times New Roman"/>
                <w:sz w:val="24"/>
                <w:szCs w:val="24"/>
                <w:highlight w:val="yellow"/>
              </w:rPr>
              <w:t xml:space="preserve"> 00 centi</w:t>
            </w:r>
            <w:r w:rsidR="00D94307">
              <w:rPr>
                <w:rFonts w:ascii="Times New Roman" w:hAnsi="Times New Roman"/>
                <w:sz w:val="24"/>
                <w:szCs w:val="24"/>
              </w:rPr>
              <w:t>) (bez PVN) apmērā</w:t>
            </w:r>
            <w:r w:rsidR="0082174F">
              <w:rPr>
                <w:rFonts w:ascii="Times New Roman" w:hAnsi="Times New Roman"/>
                <w:sz w:val="24"/>
                <w:szCs w:val="24"/>
              </w:rPr>
              <w:t xml:space="preserve">. </w:t>
            </w:r>
          </w:p>
          <w:p w14:paraId="736625AA" w14:textId="07C13B1F" w:rsidR="00B261E5" w:rsidRPr="00932117" w:rsidDel="00B261E5" w:rsidRDefault="00B261E5" w:rsidP="00D45C92">
            <w:pPr>
              <w:widowControl w:val="0"/>
              <w:tabs>
                <w:tab w:val="left" w:pos="426"/>
                <w:tab w:val="left" w:pos="567"/>
                <w:tab w:val="left" w:pos="993"/>
              </w:tabs>
              <w:spacing w:after="0" w:line="240" w:lineRule="auto"/>
              <w:jc w:val="both"/>
              <w:outlineLvl w:val="0"/>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2F2F5BDD" w:rsidR="00B261E5" w:rsidRPr="00932117" w:rsidDel="00B261E5" w:rsidRDefault="00B261E5" w:rsidP="00D94307">
            <w:pPr>
              <w:spacing w:after="0" w:line="240" w:lineRule="auto"/>
              <w:jc w:val="both"/>
              <w:rPr>
                <w:rFonts w:ascii="Times New Roman" w:hAnsi="Times New Roman"/>
                <w:sz w:val="24"/>
                <w:szCs w:val="24"/>
              </w:rPr>
            </w:pPr>
            <w:r w:rsidRPr="00932117">
              <w:rPr>
                <w:rFonts w:ascii="Times New Roman" w:hAnsi="Times New Roman"/>
                <w:sz w:val="24"/>
                <w:szCs w:val="24"/>
              </w:rPr>
              <w:t>11.</w:t>
            </w:r>
            <w:r w:rsidR="00E54147" w:rsidRPr="00932117">
              <w:rPr>
                <w:rFonts w:ascii="Times New Roman" w:hAnsi="Times New Roman"/>
                <w:sz w:val="24"/>
                <w:szCs w:val="24"/>
              </w:rPr>
              <w:t>5</w:t>
            </w:r>
            <w:r w:rsidR="00956E36" w:rsidRPr="00932117">
              <w:rPr>
                <w:rFonts w:ascii="Times New Roman" w:hAnsi="Times New Roman"/>
                <w:sz w:val="24"/>
                <w:szCs w:val="24"/>
              </w:rPr>
              <w:t>.</w:t>
            </w:r>
            <w:r w:rsidRPr="00932117">
              <w:rPr>
                <w:rFonts w:ascii="Times New Roman" w:hAnsi="Times New Roman"/>
                <w:sz w:val="24"/>
                <w:szCs w:val="24"/>
              </w:rPr>
              <w:t xml:space="preserve"> </w:t>
            </w:r>
            <w:r w:rsidR="00D94307" w:rsidRPr="00D94307">
              <w:rPr>
                <w:rFonts w:ascii="Times New Roman" w:hAnsi="Times New Roman"/>
                <w:sz w:val="24"/>
                <w:szCs w:val="24"/>
              </w:rPr>
              <w:t xml:space="preserve">Pretendenta apstiprināts pieredzes saraksts, </w:t>
            </w:r>
            <w:r w:rsidR="00D94307" w:rsidRPr="00971223">
              <w:rPr>
                <w:rFonts w:ascii="Times New Roman" w:hAnsi="Times New Roman"/>
                <w:sz w:val="24"/>
                <w:szCs w:val="24"/>
              </w:rPr>
              <w:t>kas apliecina pretendenta atbilstību nolikuma 10.5.punkta prasībām, atbilstoši veidnei (Nolikuma 4.pielikums), klāt pievienojot nodošanas ekspluatācijā</w:t>
            </w:r>
            <w:r w:rsidR="00D94307" w:rsidRPr="00D94307">
              <w:rPr>
                <w:rFonts w:ascii="Times New Roman" w:hAnsi="Times New Roman"/>
                <w:sz w:val="24"/>
                <w:szCs w:val="24"/>
              </w:rPr>
              <w:t xml:space="preserve"> akta vai akta par būvdarbu nodošanu Pasūtītājam kopijas, kā arī izziņas un atsauksmes par katru norādīto līgumu, norādot summas un laiku.</w:t>
            </w:r>
          </w:p>
        </w:tc>
      </w:tr>
      <w:tr w:rsidR="00D94307" w:rsidRPr="00932117" w14:paraId="55AEA1DA"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2EC17D" w14:textId="470FF8C3" w:rsidR="00D94307" w:rsidRPr="00052AC5" w:rsidRDefault="00D94307" w:rsidP="00D94307">
            <w:pPr>
              <w:widowControl w:val="0"/>
              <w:tabs>
                <w:tab w:val="left" w:pos="426"/>
                <w:tab w:val="left" w:pos="567"/>
                <w:tab w:val="left" w:pos="993"/>
              </w:tabs>
              <w:spacing w:after="0" w:line="240" w:lineRule="auto"/>
              <w:jc w:val="both"/>
              <w:outlineLvl w:val="0"/>
              <w:rPr>
                <w:rFonts w:ascii="Times New Roman" w:hAnsi="Times New Roman"/>
                <w:sz w:val="24"/>
                <w:szCs w:val="24"/>
              </w:rPr>
            </w:pPr>
            <w:r>
              <w:rPr>
                <w:rFonts w:ascii="Times New Roman" w:hAnsi="Times New Roman"/>
                <w:sz w:val="24"/>
                <w:szCs w:val="24"/>
              </w:rPr>
              <w:t xml:space="preserve">10.6. </w:t>
            </w:r>
            <w:r w:rsidRPr="00D94307">
              <w:rPr>
                <w:rFonts w:ascii="Times New Roman" w:hAnsi="Times New Roman"/>
                <w:sz w:val="24"/>
                <w:szCs w:val="24"/>
              </w:rPr>
              <w:t xml:space="preserve">Pretendentam ir sertificēts speciālists ceļu būvdarbu vadīšanā, kuram pēdējo 5 (piecu) gadu laikā </w:t>
            </w:r>
            <w:r>
              <w:rPr>
                <w:rFonts w:ascii="Times New Roman" w:hAnsi="Times New Roman"/>
                <w:sz w:val="24"/>
                <w:szCs w:val="24"/>
              </w:rPr>
              <w:t>(</w:t>
            </w:r>
            <w:r w:rsidR="009A54DA" w:rsidRPr="009A54DA">
              <w:rPr>
                <w:rFonts w:ascii="Times New Roman" w:hAnsi="Times New Roman"/>
                <w:sz w:val="24"/>
                <w:szCs w:val="24"/>
              </w:rPr>
              <w:t xml:space="preserve">t.i.., 2018., 2019., 2020., 2021., 2022. un 2023.gadā </w:t>
            </w:r>
            <w:r w:rsidRPr="00D94307">
              <w:rPr>
                <w:rFonts w:ascii="Times New Roman" w:hAnsi="Times New Roman"/>
                <w:sz w:val="24"/>
                <w:szCs w:val="24"/>
              </w:rPr>
              <w:t xml:space="preserve">līdz piedāvājumu iesniegšanas dienai) ir pieredze kā ceļu </w:t>
            </w:r>
            <w:r w:rsidRPr="00052AC5">
              <w:rPr>
                <w:rFonts w:ascii="Times New Roman" w:hAnsi="Times New Roman"/>
                <w:sz w:val="24"/>
                <w:szCs w:val="24"/>
              </w:rPr>
              <w:t xml:space="preserve">būvdarbu vadītājam vismaz 1 (vienā) objektā (darbi pabeigti, objekts nodots ekspluatācijā, kurā veikti kādi no līguma </w:t>
            </w:r>
            <w:r w:rsidR="004C04F4">
              <w:rPr>
                <w:rFonts w:ascii="Times New Roman" w:hAnsi="Times New Roman"/>
                <w:sz w:val="24"/>
                <w:szCs w:val="24"/>
              </w:rPr>
              <w:t>priekšmetā norādītajiem darbiem).</w:t>
            </w:r>
          </w:p>
          <w:p w14:paraId="46C1A25D" w14:textId="6F7DCB2A" w:rsidR="00D94307" w:rsidRPr="00052AC5" w:rsidRDefault="0069198C" w:rsidP="0069198C">
            <w:pPr>
              <w:widowControl w:val="0"/>
              <w:tabs>
                <w:tab w:val="left" w:pos="3240"/>
              </w:tabs>
              <w:spacing w:after="0" w:line="240" w:lineRule="auto"/>
              <w:jc w:val="both"/>
              <w:outlineLvl w:val="0"/>
              <w:rPr>
                <w:rFonts w:ascii="Times New Roman" w:hAnsi="Times New Roman"/>
                <w:sz w:val="24"/>
                <w:szCs w:val="24"/>
              </w:rPr>
            </w:pPr>
            <w:r>
              <w:rPr>
                <w:rFonts w:ascii="Times New Roman" w:hAnsi="Times New Roman"/>
                <w:sz w:val="24"/>
                <w:szCs w:val="24"/>
              </w:rPr>
              <w:tab/>
            </w:r>
          </w:p>
          <w:p w14:paraId="493EFF36" w14:textId="2238DA0B" w:rsidR="00D94307" w:rsidRPr="00E75E9D" w:rsidRDefault="00D94307" w:rsidP="000A3C81">
            <w:pPr>
              <w:widowControl w:val="0"/>
              <w:tabs>
                <w:tab w:val="left" w:pos="426"/>
                <w:tab w:val="left" w:pos="567"/>
                <w:tab w:val="left" w:pos="993"/>
              </w:tabs>
              <w:spacing w:after="0" w:line="240" w:lineRule="auto"/>
              <w:jc w:val="both"/>
              <w:outlineLvl w:val="0"/>
              <w:rPr>
                <w:rFonts w:ascii="Times New Roman" w:hAnsi="Times New Roman"/>
                <w:sz w:val="24"/>
                <w:szCs w:val="24"/>
                <w:u w:val="single"/>
              </w:rPr>
            </w:pPr>
            <w:r w:rsidRPr="00052AC5">
              <w:rPr>
                <w:rFonts w:ascii="Times New Roman" w:hAnsi="Times New Roman"/>
                <w:sz w:val="24"/>
                <w:szCs w:val="24"/>
                <w:u w:val="single"/>
              </w:rPr>
              <w:t xml:space="preserve">Ja pretendents iesniedz piedāvājumu abās iepirkuma priekšmeta daļās, tad </w:t>
            </w:r>
            <w:r w:rsidR="000A3C81" w:rsidRPr="00052AC5">
              <w:rPr>
                <w:rFonts w:ascii="Times New Roman" w:hAnsi="Times New Roman"/>
                <w:sz w:val="24"/>
                <w:szCs w:val="24"/>
                <w:u w:val="single"/>
              </w:rPr>
              <w:t>pretendents var norādīt attiecīgo speciālistu uz abām iepirkuma priekšmeta daļām.</w:t>
            </w:r>
            <w:r w:rsidR="000A3C81" w:rsidRPr="00E75E9D">
              <w:rPr>
                <w:rFonts w:ascii="Times New Roman" w:hAnsi="Times New Roman"/>
                <w:sz w:val="24"/>
                <w:szCs w:val="24"/>
                <w:u w:val="single"/>
              </w:rPr>
              <w:t xml:space="preserve"> </w:t>
            </w:r>
            <w:r w:rsidRPr="00E75E9D">
              <w:rPr>
                <w:rFonts w:ascii="Times New Roman" w:hAnsi="Times New Roman"/>
                <w:sz w:val="24"/>
                <w:szCs w:val="24"/>
                <w:u w:val="single"/>
              </w:rPr>
              <w:t xml:space="preserve"> </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75AC43" w14:textId="400E9473" w:rsidR="00D94307" w:rsidRPr="00D94307" w:rsidRDefault="008426C2" w:rsidP="00D94307">
            <w:pPr>
              <w:spacing w:after="0" w:line="240" w:lineRule="auto"/>
              <w:jc w:val="both"/>
              <w:rPr>
                <w:rFonts w:ascii="Times New Roman" w:hAnsi="Times New Roman"/>
                <w:sz w:val="24"/>
                <w:szCs w:val="24"/>
              </w:rPr>
            </w:pPr>
            <w:r>
              <w:rPr>
                <w:rFonts w:ascii="Times New Roman" w:hAnsi="Times New Roman"/>
                <w:sz w:val="24"/>
                <w:szCs w:val="24"/>
              </w:rPr>
              <w:t xml:space="preserve">11.6. </w:t>
            </w:r>
            <w:r w:rsidR="00D94307" w:rsidRPr="00D94307">
              <w:rPr>
                <w:rFonts w:ascii="Times New Roman" w:hAnsi="Times New Roman"/>
                <w:sz w:val="24"/>
                <w:szCs w:val="24"/>
              </w:rPr>
              <w:t xml:space="preserve">Lai apliecinātu Nolikuma </w:t>
            </w:r>
            <w:r>
              <w:rPr>
                <w:rFonts w:ascii="Times New Roman" w:hAnsi="Times New Roman"/>
                <w:sz w:val="24"/>
                <w:szCs w:val="24"/>
              </w:rPr>
              <w:t>10.6.</w:t>
            </w:r>
            <w:r w:rsidR="00D94307" w:rsidRPr="00D94307">
              <w:rPr>
                <w:rFonts w:ascii="Times New Roman" w:hAnsi="Times New Roman"/>
                <w:sz w:val="24"/>
                <w:szCs w:val="24"/>
              </w:rPr>
              <w:t xml:space="preserve"> punkta izpildi, pretendentam jāiesniedz:</w:t>
            </w:r>
          </w:p>
          <w:p w14:paraId="62E77E87" w14:textId="74CCED12" w:rsidR="00D94307" w:rsidRPr="00D9430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t xml:space="preserve"> -  pretendenta apstiprināts pieredzes saraksts, kas apliecina pretendenta speci</w:t>
            </w:r>
            <w:r w:rsidR="008426C2">
              <w:rPr>
                <w:rFonts w:ascii="Times New Roman" w:hAnsi="Times New Roman"/>
                <w:sz w:val="24"/>
                <w:szCs w:val="24"/>
              </w:rPr>
              <w:t xml:space="preserve">ālista </w:t>
            </w:r>
            <w:r w:rsidR="008426C2" w:rsidRPr="00971223">
              <w:rPr>
                <w:rFonts w:ascii="Times New Roman" w:hAnsi="Times New Roman"/>
                <w:sz w:val="24"/>
                <w:szCs w:val="24"/>
              </w:rPr>
              <w:t xml:space="preserve">atbilstību nolikuma 10.6. </w:t>
            </w:r>
            <w:r w:rsidRPr="00971223">
              <w:rPr>
                <w:rFonts w:ascii="Times New Roman" w:hAnsi="Times New Roman"/>
                <w:sz w:val="24"/>
                <w:szCs w:val="24"/>
              </w:rPr>
              <w:t xml:space="preserve">punkta prasībām, atbilstoši veidnei (Nolikuma </w:t>
            </w:r>
            <w:r w:rsidR="00971223" w:rsidRPr="00971223">
              <w:rPr>
                <w:rFonts w:ascii="Times New Roman" w:hAnsi="Times New Roman"/>
                <w:sz w:val="24"/>
                <w:szCs w:val="24"/>
              </w:rPr>
              <w:t>5</w:t>
            </w:r>
            <w:r w:rsidRPr="00971223">
              <w:rPr>
                <w:rFonts w:ascii="Times New Roman" w:hAnsi="Times New Roman"/>
                <w:sz w:val="24"/>
                <w:szCs w:val="24"/>
              </w:rPr>
              <w:t>.pielikums), klāt pievienojot nodošanas ekspluatācijā akta vai akta par būvdarbu nodošanu</w:t>
            </w:r>
            <w:r w:rsidRPr="00D94307">
              <w:rPr>
                <w:rFonts w:ascii="Times New Roman" w:hAnsi="Times New Roman"/>
                <w:sz w:val="24"/>
                <w:szCs w:val="24"/>
              </w:rPr>
              <w:t xml:space="preserve"> Pasūtītājam kopijas, kā arī izziņas un atsauksmes par katru norādīto ob</w:t>
            </w:r>
            <w:r w:rsidR="00BD0C70">
              <w:rPr>
                <w:rFonts w:ascii="Times New Roman" w:hAnsi="Times New Roman"/>
                <w:sz w:val="24"/>
                <w:szCs w:val="24"/>
              </w:rPr>
              <w:t>jektu, norādot summas un laiku.</w:t>
            </w:r>
          </w:p>
          <w:p w14:paraId="65EDF7F4" w14:textId="77777777" w:rsidR="00D94307" w:rsidRPr="00D9430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t xml:space="preserve">Komisija pārbauda sertificētā speciālista profesionālo kvalifikāciju Būvniecības informācijas sistēmā (www.bis.gov.lv). </w:t>
            </w:r>
          </w:p>
          <w:p w14:paraId="10D1A4DE" w14:textId="754E2F98" w:rsidR="00D94307" w:rsidRPr="0093211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t>Ja speciālists nav sertificēts Latvijā, tad iesniedz citas valsts atbilstošas institūcijas izsniegtu līdzvērtīgu dokumentu, kas ļauj sniegt attiecīgās jomas būvniecības eksperta pakalpojumus, kopijas.</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0CFCB" w14:textId="23226F14" w:rsidR="00BD0C70" w:rsidRPr="00932117" w:rsidRDefault="00875760" w:rsidP="00BD0C70">
            <w:pPr>
              <w:pStyle w:val="Default"/>
              <w:jc w:val="both"/>
            </w:pPr>
            <w:r>
              <w:rPr>
                <w:rFonts w:eastAsia="Times New Roman"/>
                <w:color w:val="auto"/>
              </w:rPr>
              <w:t>10.</w:t>
            </w:r>
            <w:r w:rsidR="00BD0C70">
              <w:rPr>
                <w:rFonts w:eastAsia="Times New Roman"/>
                <w:color w:val="auto"/>
              </w:rPr>
              <w:t>7</w:t>
            </w:r>
            <w:r>
              <w:rPr>
                <w:rFonts w:eastAsia="Times New Roman"/>
                <w:color w:val="auto"/>
              </w:rPr>
              <w:t xml:space="preserve">. </w:t>
            </w:r>
            <w:r w:rsidR="00BD0C70" w:rsidRPr="00BD0C70">
              <w:rPr>
                <w:rFonts w:eastAsia="Times New Roman"/>
                <w:color w:val="auto"/>
              </w:rPr>
              <w:t>Pretendenta rīcībā ir kvalificēts tehniskais personāls un tehniskie līdzekļi, kas nepieciešami kvalitatīvai un sekmīgai līguma izpildei.</w:t>
            </w:r>
          </w:p>
          <w:p w14:paraId="3CDA9F8C" w14:textId="6456858B" w:rsidR="002809B7" w:rsidRPr="00932117" w:rsidRDefault="002809B7" w:rsidP="00CB16C8">
            <w:pPr>
              <w:spacing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C6FC85" w14:textId="6CB717A9" w:rsidR="004C5F50" w:rsidRPr="005612BB" w:rsidRDefault="00BD0C70"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11.7</w:t>
            </w:r>
            <w:r w:rsidR="002D28B3">
              <w:rPr>
                <w:rFonts w:ascii="Times New Roman" w:eastAsia="Times New Roman" w:hAnsi="Times New Roman"/>
                <w:sz w:val="24"/>
                <w:szCs w:val="24"/>
              </w:rPr>
              <w:t xml:space="preserve">. </w:t>
            </w:r>
            <w:r>
              <w:rPr>
                <w:rFonts w:ascii="Times New Roman" w:eastAsia="Times New Roman" w:hAnsi="Times New Roman"/>
                <w:sz w:val="24"/>
                <w:szCs w:val="24"/>
              </w:rPr>
              <w:t>Lai apliecinātu Nolikuma 10.7</w:t>
            </w:r>
            <w:r w:rsidRPr="00BD0C70">
              <w:rPr>
                <w:rFonts w:ascii="Times New Roman" w:eastAsia="Times New Roman" w:hAnsi="Times New Roman"/>
                <w:sz w:val="24"/>
                <w:szCs w:val="24"/>
              </w:rPr>
              <w:t>. punkta izpildi pretendents iesniedz pasūtītājam apliecinājumu, kā tā rīcībā ir tehniskais personāls un tehniskie līdzekļi, kas nepieciešami kvalitatīvai un sekmīgai līguma izpildei.</w:t>
            </w:r>
          </w:p>
          <w:p w14:paraId="2A279441" w14:textId="0DD36948" w:rsidR="002809B7" w:rsidRPr="001543E1" w:rsidRDefault="002809B7" w:rsidP="00F01657">
            <w:pPr>
              <w:spacing w:after="0" w:line="240" w:lineRule="auto"/>
              <w:jc w:val="both"/>
              <w:rPr>
                <w:rFonts w:ascii="Times New Roman" w:hAnsi="Times New Roman"/>
                <w:sz w:val="24"/>
                <w:szCs w:val="24"/>
              </w:rPr>
            </w:pPr>
          </w:p>
        </w:tc>
      </w:tr>
      <w:tr w:rsidR="00E43B8A" w:rsidRPr="00932117" w14:paraId="40A58C28"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2EAAE" w14:textId="4279C4A6" w:rsidR="00BD0C70" w:rsidRPr="00BD0C70" w:rsidRDefault="00BD0C70" w:rsidP="00BD0C70">
            <w:pPr>
              <w:pStyle w:val="Default"/>
              <w:jc w:val="both"/>
              <w:rPr>
                <w:rFonts w:eastAsia="Times New Roman"/>
                <w:color w:val="auto"/>
              </w:rPr>
            </w:pPr>
            <w:r>
              <w:rPr>
                <w:rFonts w:eastAsia="Times New Roman"/>
                <w:color w:val="auto"/>
              </w:rPr>
              <w:t>10.8</w:t>
            </w:r>
            <w:r w:rsidR="00E43B8A" w:rsidRPr="00BD717E">
              <w:rPr>
                <w:rFonts w:eastAsia="Times New Roman"/>
                <w:color w:val="auto"/>
              </w:rPr>
              <w:t xml:space="preserve">. </w:t>
            </w:r>
            <w:r w:rsidRPr="00BD0C70">
              <w:rPr>
                <w:rFonts w:eastAsia="Times New Roman"/>
                <w:color w:val="auto"/>
              </w:rPr>
              <w:t xml:space="preserve">Pretendentam līguma izpildē jānodrošina darba aizsardzības koordinators, kura izglītība atbilst 2003.gada 25.februāra Ministru kabineta noteikumu </w:t>
            </w:r>
            <w:r w:rsidRPr="00BD0C70">
              <w:rPr>
                <w:rFonts w:eastAsia="Times New Roman"/>
                <w:color w:val="auto"/>
              </w:rPr>
              <w:lastRenderedPageBreak/>
              <w:t>Nr. 92 „Darba aizsardzības prasības veicot būvdarbus” 8.</w:t>
            </w:r>
            <w:r w:rsidRPr="0069198C">
              <w:rPr>
                <w:rFonts w:eastAsia="Times New Roman"/>
                <w:color w:val="auto"/>
                <w:vertAlign w:val="superscript"/>
              </w:rPr>
              <w:t>1</w:t>
            </w:r>
            <w:r w:rsidRPr="00BD0C70">
              <w:rPr>
                <w:rFonts w:eastAsia="Times New Roman"/>
                <w:color w:val="auto"/>
              </w:rPr>
              <w:t xml:space="preserve"> punkta prasībām. </w:t>
            </w:r>
          </w:p>
          <w:p w14:paraId="3D81D9C5"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Par projekta izpildes koordinatoru tiesīga būt persona, kas:</w:t>
            </w:r>
          </w:p>
          <w:p w14:paraId="398C3C20"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 normatīvajos aktos noteiktajā kārtībā ir saņēmusi būvprakses sertifikātu būvdarbu vadīšanas un būvuzraudzības jomā un atbilst vismaz vienai no šādām prasībām:</w:t>
            </w:r>
          </w:p>
          <w:p w14:paraId="53EB5E22"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1.1. apguvusi </w:t>
            </w:r>
            <w:proofErr w:type="spellStart"/>
            <w:r w:rsidRPr="00BD0C70">
              <w:rPr>
                <w:rFonts w:eastAsia="Times New Roman"/>
                <w:color w:val="auto"/>
              </w:rPr>
              <w:t>pamatlīmeņa</w:t>
            </w:r>
            <w:proofErr w:type="spellEnd"/>
            <w:r w:rsidRPr="00BD0C70">
              <w:rPr>
                <w:rFonts w:eastAsia="Times New Roman"/>
                <w:color w:val="auto"/>
              </w:rPr>
              <w:t xml:space="preserve"> zināšanas darba aizsardzībā (teorijas sadaļu) un specializētās darba aizsardzības zināšanas būvniecībā;</w:t>
            </w:r>
          </w:p>
          <w:p w14:paraId="07871546"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1.2. ieguvusi pirmā līmeņa profesionālo augstāko izglītību darba aizsardzības jomā;</w:t>
            </w:r>
          </w:p>
          <w:p w14:paraId="78F6A4C5" w14:textId="6447C684" w:rsidR="00BD0C70" w:rsidRPr="00BD717E"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 xml:space="preserve">1 </w:t>
            </w:r>
            <w:r w:rsidRPr="00BD0C70">
              <w:rPr>
                <w:rFonts w:eastAsia="Times New Roman"/>
                <w:color w:val="auto"/>
              </w:rPr>
              <w:t>2. ieguvusi otrā līmeņa profesionālo augstāko izglītību darba aizsardzības jomā.).</w:t>
            </w:r>
          </w:p>
          <w:p w14:paraId="068BC6D9" w14:textId="6C57BB67" w:rsidR="00E43B8A" w:rsidRPr="00BD717E" w:rsidRDefault="00E43B8A" w:rsidP="00131236">
            <w:pPr>
              <w:pStyle w:val="Default"/>
              <w:jc w:val="both"/>
              <w:rPr>
                <w:rFonts w:eastAsia="Times New Roman"/>
                <w:color w:val="auto"/>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82C3A" w14:textId="7DBE6310" w:rsidR="00E43B8A" w:rsidRPr="00BD717E" w:rsidRDefault="00F72A98"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11.8. </w:t>
            </w:r>
            <w:r w:rsidRPr="00F72A98">
              <w:rPr>
                <w:rFonts w:ascii="Times New Roman" w:eastAsia="Times New Roman" w:hAnsi="Times New Roman"/>
                <w:sz w:val="24"/>
                <w:szCs w:val="24"/>
              </w:rPr>
              <w:t xml:space="preserve">Pretendenta piedāvātā darba aizsardzības koordinatora izglītības dokumentu kopijas, kas apliecina atbilstību 2003.gada 25.februāra Ministru kabineta </w:t>
            </w:r>
            <w:r w:rsidRPr="00F72A98">
              <w:rPr>
                <w:rFonts w:ascii="Times New Roman" w:eastAsia="Times New Roman" w:hAnsi="Times New Roman"/>
                <w:sz w:val="24"/>
                <w:szCs w:val="24"/>
              </w:rPr>
              <w:lastRenderedPageBreak/>
              <w:t>noteikumu Nr. 92 „Darba aizsardzības prasības veicot būvdarbus” 8.</w:t>
            </w:r>
            <w:r w:rsidRPr="00F72A98">
              <w:rPr>
                <w:rFonts w:ascii="Times New Roman" w:eastAsia="Times New Roman" w:hAnsi="Times New Roman"/>
                <w:sz w:val="24"/>
                <w:szCs w:val="24"/>
                <w:vertAlign w:val="superscript"/>
              </w:rPr>
              <w:t>1</w:t>
            </w:r>
            <w:r w:rsidRPr="00F72A98">
              <w:rPr>
                <w:rFonts w:ascii="Times New Roman" w:eastAsia="Times New Roman" w:hAnsi="Times New Roman"/>
                <w:sz w:val="24"/>
                <w:szCs w:val="24"/>
              </w:rPr>
              <w:t xml:space="preserve"> punkta prasībām.</w:t>
            </w:r>
          </w:p>
        </w:tc>
      </w:tr>
      <w:tr w:rsidR="00192649" w:rsidRPr="004C5F50" w14:paraId="543F3F37"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40AF3" w14:textId="436C01C2" w:rsidR="00F72A98" w:rsidRPr="000D4832" w:rsidRDefault="00F72A98" w:rsidP="00F72A98">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10.9</w:t>
            </w:r>
            <w:r w:rsidR="001B0391" w:rsidRPr="004C5F50">
              <w:rPr>
                <w:rFonts w:ascii="Times New Roman" w:eastAsia="Times New Roman" w:hAnsi="Times New Roman"/>
                <w:sz w:val="24"/>
                <w:szCs w:val="24"/>
              </w:rPr>
              <w:t xml:space="preserve">. </w:t>
            </w:r>
            <w:r w:rsidRPr="003126CE">
              <w:rPr>
                <w:rFonts w:ascii="Times New Roman" w:eastAsia="Times New Roman" w:hAnsi="Times New Roman"/>
                <w:sz w:val="24"/>
                <w:szCs w:val="24"/>
              </w:rPr>
              <w:t xml:space="preserve">Pretendents līguma slēgšanas tiesību </w:t>
            </w:r>
            <w:r w:rsidRPr="00FF2FB3">
              <w:rPr>
                <w:rFonts w:ascii="Times New Roman" w:eastAsia="Times New Roman" w:hAnsi="Times New Roman"/>
                <w:sz w:val="24"/>
                <w:szCs w:val="24"/>
              </w:rPr>
              <w:t xml:space="preserve">piešķiršanas gadījumā (bet ne vēlāk kā pirms darbu uzsākšanas) veiks savas un civiltiesiskās atbildības apdrošināšanu konkrētajā objektā ar atbildības limitu ne mazāku kā </w:t>
            </w:r>
            <w:r w:rsidR="00E75E9D" w:rsidRPr="00FF2FB3">
              <w:rPr>
                <w:rFonts w:ascii="Times New Roman" w:eastAsia="Times New Roman" w:hAnsi="Times New Roman"/>
                <w:sz w:val="24"/>
                <w:szCs w:val="24"/>
                <w:u w:val="single"/>
              </w:rPr>
              <w:t xml:space="preserve">EUR 60 000,00 (sešdesmit </w:t>
            </w:r>
            <w:r w:rsidRPr="00FF2FB3">
              <w:rPr>
                <w:rFonts w:ascii="Times New Roman" w:eastAsia="Times New Roman" w:hAnsi="Times New Roman"/>
                <w:sz w:val="24"/>
                <w:szCs w:val="24"/>
                <w:u w:val="single"/>
              </w:rPr>
              <w:t xml:space="preserve">desmit tūkstoši </w:t>
            </w:r>
            <w:proofErr w:type="spellStart"/>
            <w:r w:rsidRPr="00FF2FB3">
              <w:rPr>
                <w:rFonts w:ascii="Times New Roman" w:eastAsia="Times New Roman" w:hAnsi="Times New Roman"/>
                <w:sz w:val="24"/>
                <w:szCs w:val="24"/>
                <w:u w:val="single"/>
              </w:rPr>
              <w:t>euro</w:t>
            </w:r>
            <w:proofErr w:type="spellEnd"/>
            <w:r w:rsidRPr="00FF2FB3">
              <w:rPr>
                <w:rFonts w:ascii="Times New Roman" w:eastAsia="Times New Roman" w:hAnsi="Times New Roman"/>
                <w:sz w:val="24"/>
                <w:szCs w:val="24"/>
                <w:u w:val="single"/>
              </w:rPr>
              <w:t xml:space="preserve"> 00 centi) un pašrisku ne </w:t>
            </w:r>
            <w:r w:rsidRPr="002705EC">
              <w:rPr>
                <w:rFonts w:ascii="Times New Roman" w:eastAsia="Times New Roman" w:hAnsi="Times New Roman"/>
                <w:sz w:val="24"/>
                <w:szCs w:val="24"/>
                <w:u w:val="single"/>
              </w:rPr>
              <w:t xml:space="preserve">lielāku kā EUR 500,00 </w:t>
            </w:r>
            <w:r w:rsidRPr="003126CE">
              <w:rPr>
                <w:rFonts w:ascii="Times New Roman" w:eastAsia="Times New Roman" w:hAnsi="Times New Roman"/>
                <w:sz w:val="24"/>
                <w:szCs w:val="24"/>
              </w:rPr>
              <w:t xml:space="preserve">(pieci simts </w:t>
            </w:r>
            <w:proofErr w:type="spellStart"/>
            <w:r w:rsidRPr="003126CE">
              <w:rPr>
                <w:rFonts w:ascii="Times New Roman" w:eastAsia="Times New Roman" w:hAnsi="Times New Roman"/>
                <w:sz w:val="24"/>
                <w:szCs w:val="24"/>
              </w:rPr>
              <w:t>euro</w:t>
            </w:r>
            <w:proofErr w:type="spellEnd"/>
            <w:r w:rsidRPr="003126CE">
              <w:rPr>
                <w:rFonts w:ascii="Times New Roman" w:eastAsia="Times New Roman" w:hAnsi="Times New Roman"/>
                <w:sz w:val="24"/>
                <w:szCs w:val="24"/>
              </w:rPr>
              <w:t xml:space="preserve"> 00 centi) atbilstoši 2014.gada 19.augusta Ministru kabineta noteikumiem Nr.502 „Noteikumi par </w:t>
            </w:r>
            <w:proofErr w:type="spellStart"/>
            <w:r w:rsidRPr="003126CE">
              <w:rPr>
                <w:rFonts w:ascii="Times New Roman" w:eastAsia="Times New Roman" w:hAnsi="Times New Roman"/>
                <w:sz w:val="24"/>
                <w:szCs w:val="24"/>
              </w:rPr>
              <w:t>būvspeciālistu</w:t>
            </w:r>
            <w:proofErr w:type="spellEnd"/>
            <w:r w:rsidRPr="003126CE">
              <w:rPr>
                <w:rFonts w:ascii="Times New Roman" w:eastAsia="Times New Roman" w:hAnsi="Times New Roman"/>
                <w:sz w:val="24"/>
                <w:szCs w:val="24"/>
              </w:rPr>
              <w:t xml:space="preserve"> un būvdarbu veicēju civiltiesiskās atbildības obligāto apdroš</w:t>
            </w:r>
            <w:r w:rsidR="0069198C">
              <w:rPr>
                <w:rFonts w:ascii="Times New Roman" w:eastAsia="Times New Roman" w:hAnsi="Times New Roman"/>
                <w:sz w:val="24"/>
                <w:szCs w:val="24"/>
              </w:rPr>
              <w:t>ināšanu” un 5 (piecu</w:t>
            </w:r>
            <w:r w:rsidRPr="003126CE">
              <w:rPr>
                <w:rFonts w:ascii="Times New Roman" w:eastAsia="Times New Roman" w:hAnsi="Times New Roman"/>
                <w:sz w:val="24"/>
                <w:szCs w:val="24"/>
              </w:rPr>
              <w: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p w14:paraId="2C7AE41B" w14:textId="0BEB4F28" w:rsidR="00192649" w:rsidRPr="004C5F50" w:rsidRDefault="00192649" w:rsidP="00F72A98">
            <w:pPr>
              <w:spacing w:after="0" w:line="240" w:lineRule="auto"/>
              <w:ind w:right="-58"/>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CE30D" w14:textId="7663265B" w:rsidR="00192649" w:rsidRPr="004C5F50" w:rsidRDefault="002D28B3" w:rsidP="00E43B8A">
            <w:pPr>
              <w:keepLines/>
              <w:widowControl w:val="0"/>
              <w:tabs>
                <w:tab w:val="left" w:pos="751"/>
                <w:tab w:val="left" w:pos="778"/>
              </w:tabs>
              <w:spacing w:after="0" w:line="240" w:lineRule="auto"/>
              <w:ind w:left="21" w:firstLine="14"/>
              <w:jc w:val="both"/>
              <w:rPr>
                <w:rFonts w:ascii="Times New Roman" w:eastAsia="Times New Roman" w:hAnsi="Times New Roman"/>
                <w:sz w:val="24"/>
                <w:szCs w:val="24"/>
              </w:rPr>
            </w:pPr>
            <w:r>
              <w:rPr>
                <w:rFonts w:ascii="Times New Roman" w:eastAsia="Times New Roman" w:hAnsi="Times New Roman"/>
                <w:sz w:val="24"/>
                <w:szCs w:val="24"/>
              </w:rPr>
              <w:t>11.</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xml:space="preserve">. Pretendenta rakstisks apliecinājums, ka līguma slēgšanas tiesību piešķiršanas gadījumā, tas veiks savas un </w:t>
            </w:r>
            <w:proofErr w:type="spellStart"/>
            <w:r w:rsidR="001B0391" w:rsidRPr="004C5F50">
              <w:rPr>
                <w:rFonts w:ascii="Times New Roman" w:eastAsia="Times New Roman" w:hAnsi="Times New Roman"/>
                <w:sz w:val="24"/>
                <w:szCs w:val="24"/>
              </w:rPr>
              <w:t>būvspeciālistu</w:t>
            </w:r>
            <w:proofErr w:type="spellEnd"/>
            <w:r w:rsidR="001B0391" w:rsidRPr="004C5F50">
              <w:rPr>
                <w:rFonts w:ascii="Times New Roman" w:eastAsia="Times New Roman" w:hAnsi="Times New Roman"/>
                <w:sz w:val="24"/>
                <w:szCs w:val="24"/>
              </w:rPr>
              <w:t xml:space="preserve"> civiltiesiskās atbildības apdrošināšanu uz visu līguma darbības laiku, saskaņā ar</w:t>
            </w:r>
            <w:r w:rsidR="004C5F50">
              <w:rPr>
                <w:rFonts w:ascii="Times New Roman" w:eastAsia="Times New Roman" w:hAnsi="Times New Roman"/>
                <w:sz w:val="24"/>
                <w:szCs w:val="24"/>
              </w:rPr>
              <w:t xml:space="preserve"> nolikuma 10.</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punkta nosacījumiem.</w:t>
            </w:r>
          </w:p>
        </w:tc>
      </w:tr>
    </w:tbl>
    <w:p w14:paraId="69C8F2C0" w14:textId="77777777" w:rsidR="00F154FD" w:rsidRDefault="00F154FD" w:rsidP="00643A87">
      <w:pPr>
        <w:spacing w:after="0" w:line="240" w:lineRule="auto"/>
        <w:ind w:left="567" w:right="-142"/>
        <w:jc w:val="both"/>
        <w:rPr>
          <w:rFonts w:ascii="Times New Roman" w:hAnsi="Times New Roman"/>
          <w:b/>
          <w:sz w:val="24"/>
          <w:szCs w:val="24"/>
        </w:rPr>
      </w:pPr>
    </w:p>
    <w:p w14:paraId="45E0ADDE" w14:textId="77777777" w:rsidR="00E43B8A" w:rsidRPr="004C5F50" w:rsidRDefault="00E43B8A" w:rsidP="00643A87">
      <w:pPr>
        <w:spacing w:after="0" w:line="240" w:lineRule="auto"/>
        <w:ind w:left="567"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71223" w:rsidRDefault="000145C2" w:rsidP="00422419">
      <w:pPr>
        <w:pStyle w:val="ListParagraph"/>
        <w:numPr>
          <w:ilvl w:val="2"/>
          <w:numId w:val="7"/>
        </w:numPr>
        <w:ind w:left="0" w:firstLine="567"/>
        <w:jc w:val="both"/>
        <w:outlineLvl w:val="2"/>
        <w:rPr>
          <w:bCs/>
        </w:rPr>
      </w:pPr>
      <w:r w:rsidRPr="00932117">
        <w:rPr>
          <w:bCs/>
        </w:rPr>
        <w:t xml:space="preserve">Pretendents </w:t>
      </w:r>
      <w:r w:rsidRPr="00971223">
        <w:rPr>
          <w:bCs/>
        </w:rPr>
        <w:t xml:space="preserve">iesniedz finanšu piedāvājumu atbilstoši EIS e-konkursu apakšsistēmā </w:t>
      </w:r>
      <w:r w:rsidR="00370782" w:rsidRPr="00971223">
        <w:rPr>
          <w:bCs/>
        </w:rPr>
        <w:t>iepirkuma</w:t>
      </w:r>
      <w:r w:rsidRPr="00971223">
        <w:rPr>
          <w:bCs/>
        </w:rPr>
        <w:t xml:space="preserve"> sadaļā publicētajai veidlapai, aizpildot 3</w:t>
      </w:r>
      <w:r w:rsidR="00370782" w:rsidRPr="00971223">
        <w:rPr>
          <w:bCs/>
        </w:rPr>
        <w:t>.pielikumu</w:t>
      </w:r>
      <w:r w:rsidRPr="00971223">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71223">
        <w:rPr>
          <w:bCs/>
        </w:rPr>
        <w:t>Pretendents finanšu piedāvājumā cenas</w:t>
      </w:r>
      <w:r w:rsidRPr="00932117">
        <w:rPr>
          <w:bCs/>
        </w:rPr>
        <w:t xml:space="preserve"> norāda eiro (EUR) bez pievienotā vērtības nodokļa (PVN) ar ne vairāk kā divām zīmēm aiz komata.</w:t>
      </w:r>
    </w:p>
    <w:p w14:paraId="758EAC4C" w14:textId="000E4779" w:rsidR="00486BA4" w:rsidRPr="00932117" w:rsidRDefault="00486BA4" w:rsidP="00422419">
      <w:pPr>
        <w:pStyle w:val="ListParagraph"/>
        <w:numPr>
          <w:ilvl w:val="2"/>
          <w:numId w:val="7"/>
        </w:numPr>
        <w:ind w:left="0" w:firstLine="567"/>
        <w:jc w:val="both"/>
        <w:outlineLvl w:val="2"/>
        <w:rPr>
          <w:bCs/>
        </w:rPr>
      </w:pPr>
      <w:r w:rsidRPr="00932117">
        <w:rPr>
          <w:bCs/>
        </w:rPr>
        <w:t xml:space="preserve">Finanšu piedāvājumā Pretendentam jāietver visi izdevumi un izmaksas, kas saistītas ar Tehniskajā specifikācijā (Nolikuma 2. pielikums) minēto </w:t>
      </w:r>
      <w:r w:rsidR="008162E9">
        <w:rPr>
          <w:bCs/>
        </w:rPr>
        <w:t>būvdarbu</w:t>
      </w:r>
      <w:r w:rsidRPr="00932117">
        <w:rPr>
          <w:bCs/>
        </w:rPr>
        <w:t xml:space="preserve"> sniegšanu. Pasūtītājs nemaksās nekādus Pretendenta papildus izdevumus, kas nebūs iekļauti Finanšu piedāvājumā.</w:t>
      </w:r>
    </w:p>
    <w:p w14:paraId="44BA4C9F" w14:textId="4B28A946" w:rsidR="002551A5" w:rsidRDefault="00486BA4" w:rsidP="00085BC2">
      <w:pPr>
        <w:pStyle w:val="ListParagraph"/>
        <w:numPr>
          <w:ilvl w:val="2"/>
          <w:numId w:val="7"/>
        </w:numPr>
        <w:ind w:left="0" w:firstLine="567"/>
        <w:jc w:val="both"/>
        <w:outlineLvl w:val="2"/>
        <w:rPr>
          <w:bCs/>
        </w:rPr>
      </w:pPr>
      <w:r w:rsidRPr="00932117">
        <w:rPr>
          <w:bCs/>
        </w:rPr>
        <w:lastRenderedPageBreak/>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0652FA1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t xml:space="preserve">Ja līguma slēgšanas tiesības tiek piešķirtas pretendentam, kurš iesniedzis Nolikuma prasībām atbilstošu piedāvājumu ar zemāko cenu, taču pretendenta piedāvātā līgumcena (par plānoto </w:t>
      </w:r>
      <w:r w:rsidRPr="00932117">
        <w:rPr>
          <w:rFonts w:eastAsia="Calibri"/>
        </w:rPr>
        <w:lastRenderedPageBreak/>
        <w:t>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38F520F3"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 xml:space="preserve">omisija par uzvarētāju Iepirkumā </w:t>
      </w:r>
      <w:r w:rsidR="003D32D3">
        <w:rPr>
          <w:b/>
        </w:rPr>
        <w:t xml:space="preserve">katrā iepirkuma priekšmeta daļā </w:t>
      </w:r>
      <w:r w:rsidR="0066252A" w:rsidRPr="00932117">
        <w:rPr>
          <w:b/>
        </w:rPr>
        <w:t>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 xml:space="preserve">Triju darbdienu laikā pēc lēmuma pieņemšanas Pasūtītājs informē visus pretendentus par Iepirkuma rezultātu un </w:t>
      </w:r>
      <w:proofErr w:type="spellStart"/>
      <w:r w:rsidRPr="00932117">
        <w:rPr>
          <w:bCs/>
        </w:rPr>
        <w:t>nosūta</w:t>
      </w:r>
      <w:proofErr w:type="spellEnd"/>
      <w:r w:rsidRPr="00932117">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3850FA88"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w:t>
      </w:r>
      <w:r w:rsidR="003D32D3">
        <w:rPr>
          <w:bCs/>
        </w:rPr>
        <w:t>. Līgums jāparaksta 5</w:t>
      </w:r>
      <w:r w:rsidRPr="00932117">
        <w:rPr>
          <w:bCs/>
        </w:rPr>
        <w:t> (</w:t>
      </w:r>
      <w:r w:rsidR="003D32D3">
        <w:rPr>
          <w:bCs/>
        </w:rPr>
        <w:t>piecu</w:t>
      </w:r>
      <w:r w:rsidRPr="00932117">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17"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6C067E1E" w14:textId="7C33D22C" w:rsidR="00FE2B18" w:rsidRPr="0083319A" w:rsidRDefault="0066252A" w:rsidP="00E21E60">
      <w:pPr>
        <w:pStyle w:val="ListParagraph"/>
        <w:numPr>
          <w:ilvl w:val="0"/>
          <w:numId w:val="6"/>
        </w:numPr>
        <w:ind w:right="-142"/>
        <w:jc w:val="right"/>
        <w:rPr>
          <w:b/>
        </w:rPr>
      </w:pPr>
      <w:r w:rsidRPr="00932117">
        <w:br w:type="page"/>
      </w:r>
      <w:r w:rsidR="00E21E60" w:rsidRPr="0083319A">
        <w:rPr>
          <w:b/>
        </w:rPr>
        <w:lastRenderedPageBreak/>
        <w:t xml:space="preserve"> </w:t>
      </w:r>
    </w:p>
    <w:p w14:paraId="50213690" w14:textId="77777777" w:rsidR="00FE2B18" w:rsidRPr="0083319A" w:rsidRDefault="00FE2B18" w:rsidP="00FE2B18">
      <w:pPr>
        <w:shd w:val="clear" w:color="auto" w:fill="FEFEFE"/>
        <w:spacing w:after="0" w:line="240" w:lineRule="auto"/>
        <w:jc w:val="both"/>
        <w:rPr>
          <w:rFonts w:ascii="Open Sans" w:eastAsia="Times New Roman" w:hAnsi="Open Sans"/>
          <w:color w:val="333333"/>
          <w:sz w:val="24"/>
          <w:szCs w:val="24"/>
          <w:lang w:eastAsia="lv-LV"/>
        </w:rPr>
      </w:pPr>
    </w:p>
    <w:p w14:paraId="56B74B02"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50C57094"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17CCA5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6B6B26A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08B68D3E"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6DD93671" w14:textId="77777777" w:rsidR="00971223" w:rsidRDefault="00971223" w:rsidP="00383B89">
      <w:pPr>
        <w:shd w:val="clear" w:color="auto" w:fill="FFFFFF"/>
        <w:spacing w:after="0" w:line="240" w:lineRule="auto"/>
        <w:ind w:right="-483"/>
        <w:rPr>
          <w:rFonts w:ascii="Times New Roman" w:eastAsia="Times New Roman" w:hAnsi="Times New Roman"/>
          <w:b/>
          <w:sz w:val="24"/>
          <w:szCs w:val="24"/>
        </w:rPr>
      </w:pPr>
    </w:p>
    <w:p w14:paraId="410A774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1C73A9DC" w14:textId="77777777" w:rsidR="0083319A" w:rsidRPr="0083319A" w:rsidRDefault="0083319A" w:rsidP="0083319A">
      <w:pPr>
        <w:widowControl w:val="0"/>
        <w:suppressAutoHyphens/>
        <w:spacing w:after="0" w:line="240" w:lineRule="auto"/>
        <w:rPr>
          <w:rFonts w:ascii="Times New Roman" w:eastAsia="Lucida Sans Unicode" w:hAnsi="Times New Roman" w:cstheme="minorBidi"/>
          <w:kern w:val="2"/>
          <w:sz w:val="24"/>
          <w:szCs w:val="24"/>
          <w:lang w:eastAsia="lv-LV"/>
        </w:rPr>
      </w:pPr>
    </w:p>
    <w:p w14:paraId="1C481173" w14:textId="77777777" w:rsidR="0083319A" w:rsidRDefault="0083319A" w:rsidP="0083319A">
      <w:pPr>
        <w:spacing w:after="0" w:line="240" w:lineRule="auto"/>
        <w:jc w:val="right"/>
        <w:rPr>
          <w:rFonts w:ascii="Times New Roman" w:eastAsiaTheme="minorHAnsi" w:hAnsi="Times New Roman" w:cstheme="minorBidi"/>
          <w:b/>
          <w:sz w:val="24"/>
          <w:szCs w:val="24"/>
        </w:rPr>
      </w:pPr>
    </w:p>
    <w:p w14:paraId="0B9B7C1F" w14:textId="77777777" w:rsidR="0083319A" w:rsidRPr="0083319A" w:rsidRDefault="0083319A" w:rsidP="0083319A">
      <w:pPr>
        <w:spacing w:after="0" w:line="240" w:lineRule="auto"/>
        <w:jc w:val="right"/>
        <w:rPr>
          <w:rFonts w:ascii="Times New Roman" w:eastAsiaTheme="minorHAnsi" w:hAnsi="Times New Roman" w:cstheme="minorBidi"/>
          <w:b/>
          <w:sz w:val="24"/>
          <w:szCs w:val="24"/>
        </w:rPr>
      </w:pPr>
    </w:p>
    <w:p w14:paraId="66F55633"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6CF8D16B"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0566B14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FAB895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2C1CB2C"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F9BF94D"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DB7E027"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21F3F9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3D659D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614187D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A050AD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E7CA0E3"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E34D75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C360B42"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05AB6FA"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32A39B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5F3D68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678D24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426D4D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7FA6A64"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6CD06727"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1212216E" w14:textId="77777777" w:rsidR="00770513" w:rsidRPr="00932117" w:rsidRDefault="00770513" w:rsidP="00683429">
      <w:pPr>
        <w:spacing w:after="0" w:line="240" w:lineRule="auto"/>
        <w:jc w:val="center"/>
        <w:rPr>
          <w:rFonts w:ascii="Times New Roman" w:eastAsia="Times New Roman" w:hAnsi="Times New Roman"/>
          <w:bCs/>
          <w:i/>
          <w:sz w:val="20"/>
          <w:szCs w:val="20"/>
          <w:lang w:eastAsia="lv-LV"/>
        </w:rPr>
      </w:pPr>
    </w:p>
    <w:p w14:paraId="3FCDFF8C" w14:textId="77777777" w:rsidR="00683429" w:rsidRDefault="00683429" w:rsidP="00683429">
      <w:pPr>
        <w:spacing w:after="0" w:line="240" w:lineRule="auto"/>
        <w:jc w:val="center"/>
        <w:rPr>
          <w:rFonts w:ascii="Times New Roman" w:eastAsia="Times New Roman" w:hAnsi="Times New Roman"/>
          <w:bCs/>
          <w:i/>
          <w:sz w:val="20"/>
          <w:szCs w:val="20"/>
          <w:lang w:eastAsia="lv-LV"/>
        </w:rPr>
      </w:pPr>
    </w:p>
    <w:p w14:paraId="16BECB72" w14:textId="2006E68E" w:rsidR="00652FF9" w:rsidRDefault="00652FF9" w:rsidP="00683429">
      <w:pPr>
        <w:spacing w:after="0" w:line="240" w:lineRule="auto"/>
        <w:jc w:val="center"/>
        <w:rPr>
          <w:rFonts w:ascii="Times New Roman" w:eastAsia="Times New Roman" w:hAnsi="Times New Roman"/>
          <w:bCs/>
          <w:i/>
          <w:sz w:val="20"/>
          <w:szCs w:val="20"/>
          <w:lang w:eastAsia="lv-LV"/>
        </w:rPr>
      </w:pPr>
    </w:p>
    <w:p w14:paraId="43C7A5FC" w14:textId="5D378A90" w:rsidR="00080247" w:rsidRDefault="00080247" w:rsidP="00683429">
      <w:pPr>
        <w:spacing w:after="0" w:line="240" w:lineRule="auto"/>
        <w:jc w:val="center"/>
        <w:rPr>
          <w:rFonts w:ascii="Times New Roman" w:eastAsia="Times New Roman" w:hAnsi="Times New Roman"/>
          <w:bCs/>
          <w:i/>
          <w:sz w:val="20"/>
          <w:szCs w:val="20"/>
          <w:lang w:eastAsia="lv-LV"/>
        </w:rPr>
      </w:pPr>
    </w:p>
    <w:p w14:paraId="36CBA43C" w14:textId="3D68572E" w:rsidR="00080247" w:rsidRDefault="00080247" w:rsidP="00683429">
      <w:pPr>
        <w:spacing w:after="0" w:line="240" w:lineRule="auto"/>
        <w:jc w:val="center"/>
        <w:rPr>
          <w:rFonts w:ascii="Times New Roman" w:eastAsia="Times New Roman" w:hAnsi="Times New Roman"/>
          <w:bCs/>
          <w:i/>
          <w:sz w:val="20"/>
          <w:szCs w:val="20"/>
          <w:lang w:eastAsia="lv-LV"/>
        </w:rPr>
      </w:pPr>
    </w:p>
    <w:p w14:paraId="66E56131" w14:textId="08CE7AB5" w:rsidR="00080247" w:rsidRDefault="00080247" w:rsidP="00683429">
      <w:pPr>
        <w:spacing w:after="0" w:line="240" w:lineRule="auto"/>
        <w:jc w:val="center"/>
        <w:rPr>
          <w:rFonts w:ascii="Times New Roman" w:eastAsia="Times New Roman" w:hAnsi="Times New Roman"/>
          <w:bCs/>
          <w:i/>
          <w:sz w:val="20"/>
          <w:szCs w:val="20"/>
          <w:lang w:eastAsia="lv-LV"/>
        </w:rPr>
      </w:pPr>
    </w:p>
    <w:p w14:paraId="7446266D" w14:textId="77777777" w:rsidR="00080247" w:rsidRDefault="00080247" w:rsidP="00683429">
      <w:pPr>
        <w:spacing w:after="0" w:line="240" w:lineRule="auto"/>
        <w:jc w:val="center"/>
        <w:rPr>
          <w:rFonts w:ascii="Times New Roman" w:eastAsia="Times New Roman" w:hAnsi="Times New Roman"/>
          <w:bCs/>
          <w:i/>
          <w:sz w:val="20"/>
          <w:szCs w:val="20"/>
          <w:lang w:eastAsia="lv-LV"/>
        </w:rPr>
      </w:pPr>
    </w:p>
    <w:p w14:paraId="7ED272A3" w14:textId="77777777" w:rsidR="00971223" w:rsidRDefault="00971223" w:rsidP="00CC424C">
      <w:pPr>
        <w:spacing w:after="0" w:line="240" w:lineRule="auto"/>
        <w:ind w:left="6480" w:firstLine="720"/>
        <w:jc w:val="right"/>
        <w:rPr>
          <w:rFonts w:ascii="Times New Roman" w:eastAsia="Times New Roman" w:hAnsi="Times New Roman"/>
          <w:b/>
          <w:bCs/>
          <w:lang w:eastAsia="lv-LV"/>
        </w:rPr>
      </w:pPr>
    </w:p>
    <w:p w14:paraId="12BE4968" w14:textId="77777777" w:rsidR="00CC424C" w:rsidRDefault="00CC424C" w:rsidP="00CC424C">
      <w:pPr>
        <w:spacing w:after="0" w:line="240" w:lineRule="auto"/>
        <w:jc w:val="both"/>
        <w:rPr>
          <w:rFonts w:ascii="Times New Roman" w:hAnsi="Times New Roman"/>
          <w:b/>
          <w:sz w:val="24"/>
          <w:szCs w:val="24"/>
        </w:rPr>
      </w:pPr>
    </w:p>
    <w:p w14:paraId="308F8A97" w14:textId="77777777" w:rsidR="00652FF9" w:rsidRPr="00CC424C" w:rsidRDefault="00652FF9" w:rsidP="00683429">
      <w:pPr>
        <w:spacing w:after="0" w:line="240" w:lineRule="auto"/>
        <w:jc w:val="center"/>
        <w:rPr>
          <w:rFonts w:ascii="Times New Roman" w:eastAsia="Times New Roman" w:hAnsi="Times New Roman"/>
          <w:bCs/>
          <w:sz w:val="20"/>
          <w:szCs w:val="20"/>
          <w:lang w:eastAsia="lv-LV"/>
        </w:rPr>
      </w:pPr>
    </w:p>
    <w:p w14:paraId="61D6DF2E" w14:textId="77777777" w:rsidR="00683429" w:rsidRPr="00932117" w:rsidRDefault="00683429" w:rsidP="00652FF9">
      <w:pPr>
        <w:spacing w:after="0" w:line="240" w:lineRule="auto"/>
        <w:rPr>
          <w:rFonts w:ascii="Times New Roman" w:eastAsia="Times New Roman" w:hAnsi="Times New Roman"/>
          <w:bCs/>
          <w:sz w:val="24"/>
          <w:szCs w:val="24"/>
          <w:lang w:eastAsia="lv-LV"/>
        </w:rPr>
      </w:pPr>
    </w:p>
    <w:p w14:paraId="4BCE36E4" w14:textId="00A8022C" w:rsidR="00683429" w:rsidRPr="00932117" w:rsidRDefault="00683429" w:rsidP="004637A2">
      <w:pPr>
        <w:spacing w:after="160" w:line="259" w:lineRule="auto"/>
        <w:rPr>
          <w:rFonts w:ascii="Times New Roman" w:eastAsia="Times New Roman" w:hAnsi="Times New Roman"/>
          <w:bCs/>
          <w:sz w:val="24"/>
          <w:szCs w:val="24"/>
          <w:lang w:eastAsia="lv-LV"/>
        </w:rPr>
      </w:pPr>
    </w:p>
    <w:p w14:paraId="393DFD54"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1A2C58D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258AAA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E96FF1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1C4E0F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8F6FB6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617ADE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577710D"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238DC68"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6C7612"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DFA66C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45E31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626D56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D6CD81"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D96A0F5" w14:textId="77777777" w:rsidR="00683429" w:rsidRDefault="00683429" w:rsidP="00643A87">
      <w:pPr>
        <w:spacing w:after="0" w:line="240" w:lineRule="auto"/>
        <w:jc w:val="right"/>
        <w:rPr>
          <w:rFonts w:ascii="Times New Roman" w:eastAsia="Times New Roman" w:hAnsi="Times New Roman"/>
          <w:bCs/>
          <w:sz w:val="24"/>
          <w:szCs w:val="24"/>
          <w:lang w:eastAsia="lv-LV"/>
        </w:rPr>
      </w:pPr>
    </w:p>
    <w:p w14:paraId="15693CBC"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014BB6A4" w14:textId="5D8D013F" w:rsidR="00B94B9A" w:rsidRDefault="00B94B9A" w:rsidP="00643A87">
      <w:pPr>
        <w:spacing w:after="0" w:line="240" w:lineRule="auto"/>
        <w:jc w:val="right"/>
        <w:rPr>
          <w:rFonts w:ascii="Times New Roman" w:eastAsia="Times New Roman" w:hAnsi="Times New Roman"/>
          <w:bCs/>
          <w:sz w:val="24"/>
          <w:szCs w:val="24"/>
          <w:lang w:eastAsia="lv-LV"/>
        </w:rPr>
      </w:pPr>
    </w:p>
    <w:p w14:paraId="0575BAFC" w14:textId="10931B02" w:rsidR="00383B89" w:rsidRDefault="00383B89" w:rsidP="00643A87">
      <w:pPr>
        <w:spacing w:after="0" w:line="240" w:lineRule="auto"/>
        <w:jc w:val="right"/>
        <w:rPr>
          <w:rFonts w:ascii="Times New Roman" w:eastAsia="Times New Roman" w:hAnsi="Times New Roman"/>
          <w:bCs/>
          <w:sz w:val="24"/>
          <w:szCs w:val="24"/>
          <w:lang w:eastAsia="lv-LV"/>
        </w:rPr>
      </w:pPr>
    </w:p>
    <w:p w14:paraId="767FDDCF" w14:textId="226D5659" w:rsidR="00383B89" w:rsidRDefault="00383B89" w:rsidP="00643A87">
      <w:pPr>
        <w:spacing w:after="0" w:line="240" w:lineRule="auto"/>
        <w:jc w:val="right"/>
        <w:rPr>
          <w:rFonts w:ascii="Times New Roman" w:eastAsia="Times New Roman" w:hAnsi="Times New Roman"/>
          <w:bCs/>
          <w:sz w:val="24"/>
          <w:szCs w:val="24"/>
          <w:lang w:eastAsia="lv-LV"/>
        </w:rPr>
      </w:pPr>
    </w:p>
    <w:p w14:paraId="57964975" w14:textId="77777777" w:rsidR="00383B89" w:rsidRDefault="00383B89" w:rsidP="00643A87">
      <w:pPr>
        <w:spacing w:after="0" w:line="240" w:lineRule="auto"/>
        <w:jc w:val="right"/>
        <w:rPr>
          <w:rFonts w:ascii="Times New Roman" w:eastAsia="Times New Roman" w:hAnsi="Times New Roman"/>
          <w:bCs/>
          <w:sz w:val="24"/>
          <w:szCs w:val="24"/>
          <w:lang w:eastAsia="lv-LV"/>
        </w:rPr>
      </w:pPr>
    </w:p>
    <w:p w14:paraId="50AA69D9"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7DEB6CCD"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19382192" w14:textId="77777777" w:rsidR="001242A8" w:rsidRDefault="001242A8" w:rsidP="00643A87">
      <w:pPr>
        <w:spacing w:after="0" w:line="240" w:lineRule="auto"/>
        <w:jc w:val="right"/>
        <w:rPr>
          <w:rFonts w:ascii="Times New Roman" w:eastAsia="Times New Roman" w:hAnsi="Times New Roman"/>
          <w:bCs/>
          <w:sz w:val="24"/>
          <w:szCs w:val="24"/>
          <w:lang w:eastAsia="lv-LV"/>
        </w:rPr>
      </w:pPr>
    </w:p>
    <w:p w14:paraId="55F397A3" w14:textId="77777777" w:rsidR="00F97116" w:rsidRPr="00CA3D02" w:rsidRDefault="00F97116" w:rsidP="00F97116">
      <w:pPr>
        <w:rPr>
          <w:rFonts w:ascii="Times New Roman" w:eastAsia="Times New Roman" w:hAnsi="Times New Roman"/>
        </w:rPr>
      </w:pPr>
    </w:p>
    <w:p w14:paraId="7D0D389B"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7F417DD4"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0E852109" w14:textId="77777777" w:rsidR="00F97116" w:rsidRDefault="00F97116" w:rsidP="00F97116">
      <w:pPr>
        <w:spacing w:after="0" w:line="240" w:lineRule="auto"/>
        <w:jc w:val="both"/>
        <w:rPr>
          <w:rFonts w:ascii="13" w:eastAsia="Times New Roman" w:hAnsi="13"/>
          <w:sz w:val="24"/>
          <w:szCs w:val="24"/>
          <w:lang w:eastAsia="lv-LV"/>
        </w:rPr>
      </w:pPr>
    </w:p>
    <w:p w14:paraId="245102DB" w14:textId="77777777" w:rsidR="00F97116" w:rsidRDefault="00F97116" w:rsidP="00F97116">
      <w:pPr>
        <w:spacing w:after="0" w:line="240" w:lineRule="auto"/>
        <w:jc w:val="both"/>
        <w:rPr>
          <w:rFonts w:ascii="13" w:eastAsia="Times New Roman" w:hAnsi="13"/>
          <w:sz w:val="24"/>
          <w:szCs w:val="24"/>
          <w:lang w:eastAsia="lv-LV"/>
        </w:rPr>
      </w:pPr>
    </w:p>
    <w:p w14:paraId="52E741F5" w14:textId="77777777" w:rsidR="00F97116" w:rsidRDefault="00F97116" w:rsidP="00F97116">
      <w:pPr>
        <w:spacing w:after="0" w:line="240" w:lineRule="auto"/>
        <w:jc w:val="both"/>
        <w:rPr>
          <w:rFonts w:ascii="13" w:eastAsia="Times New Roman" w:hAnsi="13"/>
          <w:sz w:val="24"/>
          <w:szCs w:val="24"/>
          <w:lang w:eastAsia="lv-LV"/>
        </w:rPr>
      </w:pPr>
    </w:p>
    <w:p w14:paraId="0CDA28E7" w14:textId="77777777" w:rsidR="00F97116" w:rsidRDefault="00F97116" w:rsidP="00F97116">
      <w:pPr>
        <w:spacing w:after="0" w:line="240" w:lineRule="auto"/>
        <w:jc w:val="both"/>
        <w:rPr>
          <w:rFonts w:ascii="13" w:eastAsia="Times New Roman" w:hAnsi="13"/>
          <w:sz w:val="24"/>
          <w:szCs w:val="24"/>
          <w:lang w:eastAsia="lv-LV"/>
        </w:rPr>
      </w:pPr>
    </w:p>
    <w:p w14:paraId="285FD1AE" w14:textId="77777777" w:rsidR="00F97116" w:rsidRDefault="00F97116" w:rsidP="00F97116">
      <w:pPr>
        <w:spacing w:after="0" w:line="240" w:lineRule="auto"/>
        <w:jc w:val="both"/>
        <w:rPr>
          <w:rFonts w:ascii="13" w:eastAsia="Times New Roman" w:hAnsi="13"/>
          <w:sz w:val="24"/>
          <w:szCs w:val="24"/>
          <w:lang w:eastAsia="lv-LV"/>
        </w:rPr>
      </w:pPr>
    </w:p>
    <w:p w14:paraId="7EFBB6AE" w14:textId="77777777" w:rsidR="00F97116" w:rsidRDefault="00F97116" w:rsidP="00F97116">
      <w:pPr>
        <w:spacing w:after="0" w:line="240" w:lineRule="auto"/>
        <w:jc w:val="both"/>
        <w:rPr>
          <w:rFonts w:ascii="13" w:eastAsia="Times New Roman" w:hAnsi="13"/>
          <w:sz w:val="24"/>
          <w:szCs w:val="24"/>
          <w:lang w:eastAsia="lv-LV"/>
        </w:rPr>
      </w:pPr>
    </w:p>
    <w:p w14:paraId="199C3370" w14:textId="77777777" w:rsidR="00F97116" w:rsidRDefault="00F97116" w:rsidP="00F97116">
      <w:pPr>
        <w:spacing w:after="0" w:line="240" w:lineRule="auto"/>
        <w:jc w:val="both"/>
        <w:rPr>
          <w:rFonts w:ascii="13" w:eastAsia="Times New Roman" w:hAnsi="13"/>
          <w:sz w:val="24"/>
          <w:szCs w:val="24"/>
          <w:lang w:eastAsia="lv-LV"/>
        </w:rPr>
      </w:pPr>
    </w:p>
    <w:p w14:paraId="186E1DD7" w14:textId="77777777" w:rsidR="00F97116" w:rsidRDefault="00F97116" w:rsidP="00F97116">
      <w:pPr>
        <w:spacing w:after="0" w:line="240" w:lineRule="auto"/>
        <w:jc w:val="both"/>
        <w:rPr>
          <w:rFonts w:ascii="13" w:eastAsia="Times New Roman" w:hAnsi="13"/>
          <w:sz w:val="24"/>
          <w:szCs w:val="24"/>
          <w:lang w:eastAsia="lv-LV"/>
        </w:rPr>
      </w:pPr>
    </w:p>
    <w:p w14:paraId="537B85E4" w14:textId="77777777" w:rsidR="00F97116" w:rsidRDefault="00F97116" w:rsidP="00F97116">
      <w:pPr>
        <w:spacing w:after="0" w:line="240" w:lineRule="auto"/>
        <w:jc w:val="both"/>
        <w:rPr>
          <w:rFonts w:ascii="13" w:eastAsia="Times New Roman" w:hAnsi="13"/>
          <w:sz w:val="24"/>
          <w:szCs w:val="24"/>
          <w:lang w:eastAsia="lv-LV"/>
        </w:rPr>
      </w:pPr>
    </w:p>
    <w:p w14:paraId="44CC4BED" w14:textId="77777777" w:rsidR="00F97116" w:rsidRDefault="00F97116" w:rsidP="00F97116">
      <w:pPr>
        <w:spacing w:after="0" w:line="240" w:lineRule="auto"/>
        <w:jc w:val="both"/>
        <w:rPr>
          <w:rFonts w:ascii="13" w:eastAsia="Times New Roman" w:hAnsi="13"/>
          <w:sz w:val="24"/>
          <w:szCs w:val="24"/>
          <w:lang w:eastAsia="lv-LV"/>
        </w:rPr>
      </w:pPr>
    </w:p>
    <w:p w14:paraId="6C89A39A" w14:textId="77777777" w:rsidR="00F97116" w:rsidRDefault="00F97116" w:rsidP="00F97116">
      <w:pPr>
        <w:spacing w:after="0" w:line="240" w:lineRule="auto"/>
        <w:jc w:val="both"/>
        <w:rPr>
          <w:rFonts w:ascii="13" w:eastAsia="Times New Roman" w:hAnsi="13"/>
          <w:sz w:val="24"/>
          <w:szCs w:val="24"/>
          <w:lang w:eastAsia="lv-LV"/>
        </w:rPr>
      </w:pPr>
    </w:p>
    <w:p w14:paraId="77564959" w14:textId="77777777" w:rsidR="00F97116" w:rsidRDefault="00F97116" w:rsidP="00F97116">
      <w:pPr>
        <w:spacing w:after="0" w:line="240" w:lineRule="auto"/>
        <w:jc w:val="both"/>
        <w:rPr>
          <w:rFonts w:ascii="13" w:eastAsia="Times New Roman" w:hAnsi="13"/>
          <w:sz w:val="24"/>
          <w:szCs w:val="24"/>
          <w:lang w:eastAsia="lv-LV"/>
        </w:rPr>
      </w:pPr>
    </w:p>
    <w:p w14:paraId="4448C5A8" w14:textId="77777777" w:rsidR="00F97116" w:rsidRDefault="00F97116" w:rsidP="00F97116">
      <w:pPr>
        <w:spacing w:after="0" w:line="240" w:lineRule="auto"/>
        <w:jc w:val="both"/>
        <w:rPr>
          <w:rFonts w:ascii="13" w:eastAsia="Times New Roman" w:hAnsi="13"/>
          <w:sz w:val="24"/>
          <w:szCs w:val="24"/>
          <w:lang w:eastAsia="lv-LV"/>
        </w:rPr>
      </w:pPr>
    </w:p>
    <w:p w14:paraId="36D38E48" w14:textId="77777777" w:rsidR="00F97116" w:rsidRDefault="00F97116" w:rsidP="00F97116">
      <w:pPr>
        <w:spacing w:after="0" w:line="240" w:lineRule="auto"/>
        <w:jc w:val="both"/>
        <w:rPr>
          <w:rFonts w:ascii="13" w:eastAsia="Times New Roman" w:hAnsi="13"/>
          <w:sz w:val="24"/>
          <w:szCs w:val="24"/>
          <w:lang w:eastAsia="lv-LV"/>
        </w:rPr>
      </w:pPr>
    </w:p>
    <w:p w14:paraId="6D06283C" w14:textId="77777777" w:rsidR="00F97116" w:rsidRDefault="00F97116" w:rsidP="00F97116">
      <w:pPr>
        <w:spacing w:after="0" w:line="240" w:lineRule="auto"/>
        <w:jc w:val="both"/>
        <w:rPr>
          <w:rFonts w:ascii="13" w:eastAsia="Times New Roman" w:hAnsi="13"/>
          <w:sz w:val="24"/>
          <w:szCs w:val="24"/>
          <w:lang w:eastAsia="lv-LV"/>
        </w:rPr>
      </w:pPr>
    </w:p>
    <w:p w14:paraId="016BDAA3" w14:textId="77777777" w:rsidR="00E93EB5" w:rsidRPr="00932117" w:rsidRDefault="00E93EB5" w:rsidP="00643A87">
      <w:pPr>
        <w:spacing w:after="0" w:line="240" w:lineRule="auto"/>
        <w:jc w:val="right"/>
        <w:rPr>
          <w:rFonts w:ascii="Times New Roman" w:eastAsia="Times New Roman" w:hAnsi="Times New Roman"/>
          <w:bCs/>
          <w:sz w:val="24"/>
          <w:szCs w:val="24"/>
          <w:lang w:eastAsia="lv-LV"/>
        </w:rPr>
      </w:pPr>
    </w:p>
    <w:sectPr w:rsidR="00E93EB5" w:rsidRPr="00932117" w:rsidSect="00683429">
      <w:footerReference w:type="default" r:id="rId18"/>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6396" w14:textId="77777777" w:rsidR="0047735D" w:rsidRDefault="0047735D" w:rsidP="0066252A">
      <w:pPr>
        <w:spacing w:after="0" w:line="240" w:lineRule="auto"/>
      </w:pPr>
      <w:r>
        <w:separator/>
      </w:r>
    </w:p>
  </w:endnote>
  <w:endnote w:type="continuationSeparator" w:id="0">
    <w:p w14:paraId="050663CC" w14:textId="77777777" w:rsidR="0047735D" w:rsidRDefault="0047735D"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Calibri"/>
    <w:charset w:val="00"/>
    <w:family w:val="swiss"/>
    <w:pitch w:val="variable"/>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1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47735D" w:rsidRDefault="0047735D">
    <w:pPr>
      <w:pStyle w:val="Footer"/>
      <w:jc w:val="center"/>
    </w:pPr>
    <w:r>
      <w:fldChar w:fldCharType="begin"/>
    </w:r>
    <w:r>
      <w:instrText xml:space="preserve"> PAGE   \* MERGEFORMAT </w:instrText>
    </w:r>
    <w:r>
      <w:fldChar w:fldCharType="separate"/>
    </w:r>
    <w:r>
      <w:rPr>
        <w:noProof/>
      </w:rPr>
      <w:t>24</w:t>
    </w:r>
    <w:r>
      <w:rPr>
        <w:noProof/>
      </w:rPr>
      <w:fldChar w:fldCharType="end"/>
    </w:r>
  </w:p>
  <w:p w14:paraId="3B0F7CC4" w14:textId="77777777" w:rsidR="0047735D" w:rsidRDefault="0047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C6803" w14:textId="77777777" w:rsidR="0047735D" w:rsidRDefault="0047735D" w:rsidP="0066252A">
      <w:pPr>
        <w:spacing w:after="0" w:line="240" w:lineRule="auto"/>
      </w:pPr>
      <w:r>
        <w:separator/>
      </w:r>
    </w:p>
  </w:footnote>
  <w:footnote w:type="continuationSeparator" w:id="0">
    <w:p w14:paraId="3E60DF2C" w14:textId="77777777" w:rsidR="0047735D" w:rsidRDefault="0047735D" w:rsidP="0066252A">
      <w:pPr>
        <w:spacing w:after="0" w:line="240" w:lineRule="auto"/>
      </w:pPr>
      <w:r>
        <w:continuationSeparator/>
      </w:r>
    </w:p>
  </w:footnote>
  <w:footnote w:id="1">
    <w:p w14:paraId="31FCFDDD" w14:textId="4EDE6172" w:rsidR="0047735D" w:rsidRPr="008864C0" w:rsidRDefault="0047735D">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AD4"/>
    <w:multiLevelType w:val="multilevel"/>
    <w:tmpl w:val="73589A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920EAE"/>
    <w:multiLevelType w:val="multilevel"/>
    <w:tmpl w:val="38E88808"/>
    <w:lvl w:ilvl="0">
      <w:start w:val="11"/>
      <w:numFmt w:val="decimal"/>
      <w:lvlText w:val="%1."/>
      <w:lvlJc w:val="left"/>
      <w:pPr>
        <w:ind w:left="360" w:hanging="360"/>
      </w:pPr>
      <w:rPr>
        <w:rFonts w:hint="default"/>
        <w:b w:val="0"/>
        <w:bCs w:val="0"/>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59DF"/>
    <w:multiLevelType w:val="multilevel"/>
    <w:tmpl w:val="3D5A1A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0827494"/>
    <w:multiLevelType w:val="multilevel"/>
    <w:tmpl w:val="D3B66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5C6ADC"/>
    <w:multiLevelType w:val="multilevel"/>
    <w:tmpl w:val="E8664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459D7"/>
    <w:multiLevelType w:val="multilevel"/>
    <w:tmpl w:val="D97E393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9%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66D1B"/>
    <w:multiLevelType w:val="multilevel"/>
    <w:tmpl w:val="21645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C109F"/>
    <w:multiLevelType w:val="multilevel"/>
    <w:tmpl w:val="51D6E6FE"/>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6.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FE73DB"/>
    <w:multiLevelType w:val="multilevel"/>
    <w:tmpl w:val="0426001D"/>
    <w:styleLink w:val="Style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14" w15:restartNumberingAfterBreak="0">
    <w:nsid w:val="3E980CD9"/>
    <w:multiLevelType w:val="multilevel"/>
    <w:tmpl w:val="2934143A"/>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b w:val="0"/>
        <w:bCs/>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B85AB7"/>
    <w:multiLevelType w:val="multilevel"/>
    <w:tmpl w:val="4C9E9F7A"/>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4DA68B6"/>
    <w:multiLevelType w:val="multilevel"/>
    <w:tmpl w:val="2578B49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8%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AC0D2A"/>
    <w:multiLevelType w:val="multilevel"/>
    <w:tmpl w:val="0FB84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121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6E0C94"/>
    <w:multiLevelType w:val="multilevel"/>
    <w:tmpl w:val="123E2A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9B2153B"/>
    <w:multiLevelType w:val="multilevel"/>
    <w:tmpl w:val="AEE63442"/>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C47308"/>
    <w:multiLevelType w:val="multilevel"/>
    <w:tmpl w:val="1E2007DC"/>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76D632A2"/>
    <w:multiLevelType w:val="multilevel"/>
    <w:tmpl w:val="481E1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E0C7274"/>
    <w:multiLevelType w:val="multilevel"/>
    <w:tmpl w:val="0426001D"/>
    <w:numStyleLink w:val="Style1"/>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23"/>
  </w:num>
  <w:num w:numId="9">
    <w:abstractNumId w:val="18"/>
  </w:num>
  <w:num w:numId="10">
    <w:abstractNumId w:val="20"/>
  </w:num>
  <w:num w:numId="11">
    <w:abstractNumId w:val="15"/>
  </w:num>
  <w:num w:numId="12">
    <w:abstractNumId w:val="28"/>
  </w:num>
  <w:num w:numId="13">
    <w:abstractNumId w:val="25"/>
  </w:num>
  <w:num w:numId="14">
    <w:abstractNumId w:val="16"/>
  </w:num>
  <w:num w:numId="15">
    <w:abstractNumId w:val="13"/>
  </w:num>
  <w:num w:numId="16">
    <w:abstractNumId w:val="9"/>
  </w:num>
  <w:num w:numId="17">
    <w:abstractNumId w:val="12"/>
  </w:num>
  <w:num w:numId="18">
    <w:abstractNumId w:val="29"/>
  </w:num>
  <w:num w:numId="19">
    <w:abstractNumId w:val="24"/>
  </w:num>
  <w:num w:numId="20">
    <w:abstractNumId w:val="21"/>
  </w:num>
  <w:num w:numId="21">
    <w:abstractNumId w:val="26"/>
  </w:num>
  <w:num w:numId="22">
    <w:abstractNumId w:val="27"/>
  </w:num>
  <w:num w:numId="23">
    <w:abstractNumId w:val="8"/>
  </w:num>
  <w:num w:numId="24">
    <w:abstractNumId w:val="0"/>
  </w:num>
  <w:num w:numId="25">
    <w:abstractNumId w:val="22"/>
  </w:num>
  <w:num w:numId="26">
    <w:abstractNumId w:val="5"/>
  </w:num>
  <w:num w:numId="27">
    <w:abstractNumId w:val="6"/>
  </w:num>
  <w:num w:numId="28">
    <w:abstractNumId w:val="7"/>
  </w:num>
  <w:num w:numId="29">
    <w:abstractNumId w:val="17"/>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32D99"/>
    <w:rsid w:val="00036A89"/>
    <w:rsid w:val="0004143D"/>
    <w:rsid w:val="000421FB"/>
    <w:rsid w:val="00042CCF"/>
    <w:rsid w:val="00052AC5"/>
    <w:rsid w:val="000566FC"/>
    <w:rsid w:val="000574A3"/>
    <w:rsid w:val="000605EE"/>
    <w:rsid w:val="0007003C"/>
    <w:rsid w:val="000734F3"/>
    <w:rsid w:val="00075C60"/>
    <w:rsid w:val="00080247"/>
    <w:rsid w:val="00080BD4"/>
    <w:rsid w:val="00085BC2"/>
    <w:rsid w:val="000A3C81"/>
    <w:rsid w:val="000A4430"/>
    <w:rsid w:val="000A74C4"/>
    <w:rsid w:val="000B04E7"/>
    <w:rsid w:val="000B667E"/>
    <w:rsid w:val="000C4A76"/>
    <w:rsid w:val="000C524D"/>
    <w:rsid w:val="000E35D7"/>
    <w:rsid w:val="000E7892"/>
    <w:rsid w:val="000F5686"/>
    <w:rsid w:val="00100A57"/>
    <w:rsid w:val="0010136E"/>
    <w:rsid w:val="00104BA4"/>
    <w:rsid w:val="001242A8"/>
    <w:rsid w:val="001258FC"/>
    <w:rsid w:val="00125BD6"/>
    <w:rsid w:val="00131236"/>
    <w:rsid w:val="0014100E"/>
    <w:rsid w:val="00142687"/>
    <w:rsid w:val="00145254"/>
    <w:rsid w:val="00150537"/>
    <w:rsid w:val="00150626"/>
    <w:rsid w:val="001543E1"/>
    <w:rsid w:val="0016632F"/>
    <w:rsid w:val="00167B01"/>
    <w:rsid w:val="00175871"/>
    <w:rsid w:val="00180801"/>
    <w:rsid w:val="00185252"/>
    <w:rsid w:val="00190532"/>
    <w:rsid w:val="00192649"/>
    <w:rsid w:val="00195032"/>
    <w:rsid w:val="001B0391"/>
    <w:rsid w:val="001B6272"/>
    <w:rsid w:val="001B7F47"/>
    <w:rsid w:val="001C1D20"/>
    <w:rsid w:val="001C78CF"/>
    <w:rsid w:val="001D21F4"/>
    <w:rsid w:val="001D5ACA"/>
    <w:rsid w:val="001D6BC7"/>
    <w:rsid w:val="001E0FE6"/>
    <w:rsid w:val="001E237E"/>
    <w:rsid w:val="001E30D8"/>
    <w:rsid w:val="001E50F0"/>
    <w:rsid w:val="001E72CF"/>
    <w:rsid w:val="001F053A"/>
    <w:rsid w:val="001F087E"/>
    <w:rsid w:val="001F37E9"/>
    <w:rsid w:val="00203121"/>
    <w:rsid w:val="0021011C"/>
    <w:rsid w:val="00212886"/>
    <w:rsid w:val="00212A52"/>
    <w:rsid w:val="00213846"/>
    <w:rsid w:val="00231F8C"/>
    <w:rsid w:val="00233FC6"/>
    <w:rsid w:val="00241569"/>
    <w:rsid w:val="00250780"/>
    <w:rsid w:val="00254812"/>
    <w:rsid w:val="002551A5"/>
    <w:rsid w:val="00257D53"/>
    <w:rsid w:val="00264B02"/>
    <w:rsid w:val="002651BB"/>
    <w:rsid w:val="00270F36"/>
    <w:rsid w:val="0027154B"/>
    <w:rsid w:val="00273C52"/>
    <w:rsid w:val="00275860"/>
    <w:rsid w:val="002809B7"/>
    <w:rsid w:val="00283592"/>
    <w:rsid w:val="00287624"/>
    <w:rsid w:val="002943A4"/>
    <w:rsid w:val="002A61F9"/>
    <w:rsid w:val="002A69C3"/>
    <w:rsid w:val="002A7549"/>
    <w:rsid w:val="002B0985"/>
    <w:rsid w:val="002B1EE9"/>
    <w:rsid w:val="002B38B8"/>
    <w:rsid w:val="002D28B3"/>
    <w:rsid w:val="002D3D44"/>
    <w:rsid w:val="002D7A09"/>
    <w:rsid w:val="002E11CC"/>
    <w:rsid w:val="002E2974"/>
    <w:rsid w:val="002E6F2D"/>
    <w:rsid w:val="002F1545"/>
    <w:rsid w:val="002F7AE6"/>
    <w:rsid w:val="003029A1"/>
    <w:rsid w:val="0031198E"/>
    <w:rsid w:val="00316FB0"/>
    <w:rsid w:val="00330DF3"/>
    <w:rsid w:val="00331961"/>
    <w:rsid w:val="00332C8A"/>
    <w:rsid w:val="00337416"/>
    <w:rsid w:val="00350456"/>
    <w:rsid w:val="003614AE"/>
    <w:rsid w:val="00370782"/>
    <w:rsid w:val="0037459C"/>
    <w:rsid w:val="0037794E"/>
    <w:rsid w:val="00383B89"/>
    <w:rsid w:val="00383C09"/>
    <w:rsid w:val="00385DD3"/>
    <w:rsid w:val="00385F14"/>
    <w:rsid w:val="003868B2"/>
    <w:rsid w:val="00390820"/>
    <w:rsid w:val="0039237F"/>
    <w:rsid w:val="00394C2D"/>
    <w:rsid w:val="003958CD"/>
    <w:rsid w:val="003A0A70"/>
    <w:rsid w:val="003A3D0C"/>
    <w:rsid w:val="003A66FD"/>
    <w:rsid w:val="003B19D1"/>
    <w:rsid w:val="003B74C0"/>
    <w:rsid w:val="003B7835"/>
    <w:rsid w:val="003C5535"/>
    <w:rsid w:val="003D1973"/>
    <w:rsid w:val="003D32D3"/>
    <w:rsid w:val="003E452C"/>
    <w:rsid w:val="003F3FDF"/>
    <w:rsid w:val="00402C15"/>
    <w:rsid w:val="00413B4C"/>
    <w:rsid w:val="00422419"/>
    <w:rsid w:val="00423EDB"/>
    <w:rsid w:val="00426143"/>
    <w:rsid w:val="00427B65"/>
    <w:rsid w:val="004350FF"/>
    <w:rsid w:val="004409D8"/>
    <w:rsid w:val="00445A13"/>
    <w:rsid w:val="00446717"/>
    <w:rsid w:val="00452A43"/>
    <w:rsid w:val="00455418"/>
    <w:rsid w:val="00460F5E"/>
    <w:rsid w:val="004637A2"/>
    <w:rsid w:val="0047735D"/>
    <w:rsid w:val="00483A53"/>
    <w:rsid w:val="00486BA4"/>
    <w:rsid w:val="00491993"/>
    <w:rsid w:val="004A3E54"/>
    <w:rsid w:val="004A7979"/>
    <w:rsid w:val="004C04F4"/>
    <w:rsid w:val="004C5F50"/>
    <w:rsid w:val="004D2862"/>
    <w:rsid w:val="004D345D"/>
    <w:rsid w:val="004E1556"/>
    <w:rsid w:val="004E6E4A"/>
    <w:rsid w:val="004F0247"/>
    <w:rsid w:val="004F295E"/>
    <w:rsid w:val="004F5F3A"/>
    <w:rsid w:val="005123B3"/>
    <w:rsid w:val="00512DA2"/>
    <w:rsid w:val="0053116D"/>
    <w:rsid w:val="00534440"/>
    <w:rsid w:val="00550802"/>
    <w:rsid w:val="00551457"/>
    <w:rsid w:val="00560C67"/>
    <w:rsid w:val="00560F63"/>
    <w:rsid w:val="00562A77"/>
    <w:rsid w:val="00564236"/>
    <w:rsid w:val="00566FDF"/>
    <w:rsid w:val="00573329"/>
    <w:rsid w:val="00582856"/>
    <w:rsid w:val="0058546B"/>
    <w:rsid w:val="00585E6B"/>
    <w:rsid w:val="00586C18"/>
    <w:rsid w:val="005A214E"/>
    <w:rsid w:val="005B2ADC"/>
    <w:rsid w:val="005C1B36"/>
    <w:rsid w:val="005D3A42"/>
    <w:rsid w:val="005D686B"/>
    <w:rsid w:val="005D6D07"/>
    <w:rsid w:val="005D6EB8"/>
    <w:rsid w:val="005E0FDE"/>
    <w:rsid w:val="005E2329"/>
    <w:rsid w:val="005E397E"/>
    <w:rsid w:val="005E5FDD"/>
    <w:rsid w:val="005F06B5"/>
    <w:rsid w:val="005F0DB0"/>
    <w:rsid w:val="005F3ED2"/>
    <w:rsid w:val="006026DC"/>
    <w:rsid w:val="006032E7"/>
    <w:rsid w:val="006067C2"/>
    <w:rsid w:val="006118AB"/>
    <w:rsid w:val="0061360D"/>
    <w:rsid w:val="00615256"/>
    <w:rsid w:val="00615445"/>
    <w:rsid w:val="00615559"/>
    <w:rsid w:val="0061741A"/>
    <w:rsid w:val="00620D33"/>
    <w:rsid w:val="00620DE0"/>
    <w:rsid w:val="00621D6F"/>
    <w:rsid w:val="00633B8D"/>
    <w:rsid w:val="00633F3F"/>
    <w:rsid w:val="0063699B"/>
    <w:rsid w:val="00643A87"/>
    <w:rsid w:val="00644CE0"/>
    <w:rsid w:val="00652FF9"/>
    <w:rsid w:val="00661BF2"/>
    <w:rsid w:val="0066252A"/>
    <w:rsid w:val="00672C7D"/>
    <w:rsid w:val="00683429"/>
    <w:rsid w:val="0069198C"/>
    <w:rsid w:val="00697FC4"/>
    <w:rsid w:val="00697FEF"/>
    <w:rsid w:val="006A0918"/>
    <w:rsid w:val="006A0E24"/>
    <w:rsid w:val="006A5605"/>
    <w:rsid w:val="006B2578"/>
    <w:rsid w:val="006B5C0A"/>
    <w:rsid w:val="006B5CD2"/>
    <w:rsid w:val="006B5DBD"/>
    <w:rsid w:val="006B7211"/>
    <w:rsid w:val="006C0B27"/>
    <w:rsid w:val="006C14B7"/>
    <w:rsid w:val="006D1C73"/>
    <w:rsid w:val="006D38B9"/>
    <w:rsid w:val="006D4FBB"/>
    <w:rsid w:val="006D5FB4"/>
    <w:rsid w:val="006E28A7"/>
    <w:rsid w:val="006E3526"/>
    <w:rsid w:val="006F318B"/>
    <w:rsid w:val="007020CF"/>
    <w:rsid w:val="00711375"/>
    <w:rsid w:val="007124B6"/>
    <w:rsid w:val="00714747"/>
    <w:rsid w:val="007163BE"/>
    <w:rsid w:val="00716B63"/>
    <w:rsid w:val="00716DB1"/>
    <w:rsid w:val="007172F7"/>
    <w:rsid w:val="00717A79"/>
    <w:rsid w:val="00717FB4"/>
    <w:rsid w:val="00721495"/>
    <w:rsid w:val="00725A2F"/>
    <w:rsid w:val="007307F7"/>
    <w:rsid w:val="00733EC6"/>
    <w:rsid w:val="00734C49"/>
    <w:rsid w:val="00734E5B"/>
    <w:rsid w:val="00737A42"/>
    <w:rsid w:val="007438E0"/>
    <w:rsid w:val="007458E9"/>
    <w:rsid w:val="007542A0"/>
    <w:rsid w:val="00756B9E"/>
    <w:rsid w:val="00760911"/>
    <w:rsid w:val="00770513"/>
    <w:rsid w:val="00771383"/>
    <w:rsid w:val="00776EC6"/>
    <w:rsid w:val="0078235F"/>
    <w:rsid w:val="00784C99"/>
    <w:rsid w:val="00785B02"/>
    <w:rsid w:val="007879BF"/>
    <w:rsid w:val="007A73FB"/>
    <w:rsid w:val="007B25F2"/>
    <w:rsid w:val="007B2916"/>
    <w:rsid w:val="007B5740"/>
    <w:rsid w:val="007C11B5"/>
    <w:rsid w:val="007C635A"/>
    <w:rsid w:val="007E32E9"/>
    <w:rsid w:val="007E43E3"/>
    <w:rsid w:val="008042E6"/>
    <w:rsid w:val="00807F00"/>
    <w:rsid w:val="00810B0C"/>
    <w:rsid w:val="00813CD0"/>
    <w:rsid w:val="008162E9"/>
    <w:rsid w:val="0082100B"/>
    <w:rsid w:val="0082174F"/>
    <w:rsid w:val="00826230"/>
    <w:rsid w:val="0083083A"/>
    <w:rsid w:val="00830F5D"/>
    <w:rsid w:val="0083319A"/>
    <w:rsid w:val="008372C3"/>
    <w:rsid w:val="00841216"/>
    <w:rsid w:val="008426C2"/>
    <w:rsid w:val="0084379F"/>
    <w:rsid w:val="00857D21"/>
    <w:rsid w:val="0087119E"/>
    <w:rsid w:val="00874B0B"/>
    <w:rsid w:val="00875760"/>
    <w:rsid w:val="00876B01"/>
    <w:rsid w:val="00881343"/>
    <w:rsid w:val="0088202D"/>
    <w:rsid w:val="008864C0"/>
    <w:rsid w:val="00893E95"/>
    <w:rsid w:val="008961FC"/>
    <w:rsid w:val="008969B2"/>
    <w:rsid w:val="00896BD8"/>
    <w:rsid w:val="008A5614"/>
    <w:rsid w:val="008A5D68"/>
    <w:rsid w:val="008B2A45"/>
    <w:rsid w:val="008C235B"/>
    <w:rsid w:val="008C5C8D"/>
    <w:rsid w:val="008D34C6"/>
    <w:rsid w:val="008D7887"/>
    <w:rsid w:val="008F5AE0"/>
    <w:rsid w:val="008F6901"/>
    <w:rsid w:val="00901E0F"/>
    <w:rsid w:val="00904959"/>
    <w:rsid w:val="0090505F"/>
    <w:rsid w:val="0091449E"/>
    <w:rsid w:val="00920A07"/>
    <w:rsid w:val="00932117"/>
    <w:rsid w:val="00936AA7"/>
    <w:rsid w:val="0095005A"/>
    <w:rsid w:val="0095394D"/>
    <w:rsid w:val="009542E3"/>
    <w:rsid w:val="00956E36"/>
    <w:rsid w:val="009578E4"/>
    <w:rsid w:val="00960BD5"/>
    <w:rsid w:val="00971223"/>
    <w:rsid w:val="009725DB"/>
    <w:rsid w:val="009766C1"/>
    <w:rsid w:val="00980BBE"/>
    <w:rsid w:val="0098356B"/>
    <w:rsid w:val="00984944"/>
    <w:rsid w:val="00995332"/>
    <w:rsid w:val="00995C75"/>
    <w:rsid w:val="0099632A"/>
    <w:rsid w:val="009A54DA"/>
    <w:rsid w:val="009B3370"/>
    <w:rsid w:val="009B6BF8"/>
    <w:rsid w:val="009B71FF"/>
    <w:rsid w:val="009C211B"/>
    <w:rsid w:val="009C364F"/>
    <w:rsid w:val="009D2C7B"/>
    <w:rsid w:val="009D50E7"/>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E4C"/>
    <w:rsid w:val="00A62050"/>
    <w:rsid w:val="00A63864"/>
    <w:rsid w:val="00A73AE5"/>
    <w:rsid w:val="00A77D40"/>
    <w:rsid w:val="00A8123A"/>
    <w:rsid w:val="00A82BDB"/>
    <w:rsid w:val="00A8644C"/>
    <w:rsid w:val="00A94A9F"/>
    <w:rsid w:val="00A96695"/>
    <w:rsid w:val="00A97912"/>
    <w:rsid w:val="00AA0F19"/>
    <w:rsid w:val="00AA25DC"/>
    <w:rsid w:val="00AA3AA6"/>
    <w:rsid w:val="00AB26B2"/>
    <w:rsid w:val="00AB3DCC"/>
    <w:rsid w:val="00AB60EB"/>
    <w:rsid w:val="00AB7238"/>
    <w:rsid w:val="00AC282A"/>
    <w:rsid w:val="00AC3FEA"/>
    <w:rsid w:val="00AD20F6"/>
    <w:rsid w:val="00AE08EF"/>
    <w:rsid w:val="00AE1156"/>
    <w:rsid w:val="00AE18C0"/>
    <w:rsid w:val="00AE7DE1"/>
    <w:rsid w:val="00AF027D"/>
    <w:rsid w:val="00B0028F"/>
    <w:rsid w:val="00B037E0"/>
    <w:rsid w:val="00B04640"/>
    <w:rsid w:val="00B0600A"/>
    <w:rsid w:val="00B061BB"/>
    <w:rsid w:val="00B11809"/>
    <w:rsid w:val="00B2583E"/>
    <w:rsid w:val="00B261E5"/>
    <w:rsid w:val="00B30379"/>
    <w:rsid w:val="00B55A8B"/>
    <w:rsid w:val="00B57B0E"/>
    <w:rsid w:val="00B626F5"/>
    <w:rsid w:val="00B64FA6"/>
    <w:rsid w:val="00B64FE5"/>
    <w:rsid w:val="00B65FAF"/>
    <w:rsid w:val="00B826AD"/>
    <w:rsid w:val="00B85C02"/>
    <w:rsid w:val="00B92FA1"/>
    <w:rsid w:val="00B94B19"/>
    <w:rsid w:val="00B94B9A"/>
    <w:rsid w:val="00BB0C0C"/>
    <w:rsid w:val="00BB3E3D"/>
    <w:rsid w:val="00BB6BD1"/>
    <w:rsid w:val="00BC4826"/>
    <w:rsid w:val="00BD0C70"/>
    <w:rsid w:val="00BD24CB"/>
    <w:rsid w:val="00BD3CD5"/>
    <w:rsid w:val="00BD717E"/>
    <w:rsid w:val="00BD7356"/>
    <w:rsid w:val="00BD7F30"/>
    <w:rsid w:val="00BE09D2"/>
    <w:rsid w:val="00BE1FBE"/>
    <w:rsid w:val="00BE234B"/>
    <w:rsid w:val="00BE633B"/>
    <w:rsid w:val="00BF0C9D"/>
    <w:rsid w:val="00BF0F5C"/>
    <w:rsid w:val="00BF2380"/>
    <w:rsid w:val="00BF35BE"/>
    <w:rsid w:val="00BF797A"/>
    <w:rsid w:val="00C01A9D"/>
    <w:rsid w:val="00C03CCB"/>
    <w:rsid w:val="00C25669"/>
    <w:rsid w:val="00C3262A"/>
    <w:rsid w:val="00C40ABE"/>
    <w:rsid w:val="00C41E00"/>
    <w:rsid w:val="00C42178"/>
    <w:rsid w:val="00C46CF9"/>
    <w:rsid w:val="00C4732D"/>
    <w:rsid w:val="00C55EBD"/>
    <w:rsid w:val="00C65BD7"/>
    <w:rsid w:val="00C67ED6"/>
    <w:rsid w:val="00C75A51"/>
    <w:rsid w:val="00C75DF2"/>
    <w:rsid w:val="00C8284F"/>
    <w:rsid w:val="00C83371"/>
    <w:rsid w:val="00CA32CA"/>
    <w:rsid w:val="00CA594A"/>
    <w:rsid w:val="00CA7D7C"/>
    <w:rsid w:val="00CB16C8"/>
    <w:rsid w:val="00CB21DD"/>
    <w:rsid w:val="00CB26BB"/>
    <w:rsid w:val="00CC0D61"/>
    <w:rsid w:val="00CC424C"/>
    <w:rsid w:val="00CD13D3"/>
    <w:rsid w:val="00CD1BF9"/>
    <w:rsid w:val="00CD4E1A"/>
    <w:rsid w:val="00CD6874"/>
    <w:rsid w:val="00CD7BBE"/>
    <w:rsid w:val="00CE6402"/>
    <w:rsid w:val="00CF4C5A"/>
    <w:rsid w:val="00CF7AB1"/>
    <w:rsid w:val="00D005C5"/>
    <w:rsid w:val="00D05EAF"/>
    <w:rsid w:val="00D0795D"/>
    <w:rsid w:val="00D07F81"/>
    <w:rsid w:val="00D11D25"/>
    <w:rsid w:val="00D1455E"/>
    <w:rsid w:val="00D20848"/>
    <w:rsid w:val="00D25872"/>
    <w:rsid w:val="00D32C72"/>
    <w:rsid w:val="00D41098"/>
    <w:rsid w:val="00D4244D"/>
    <w:rsid w:val="00D4287B"/>
    <w:rsid w:val="00D45C92"/>
    <w:rsid w:val="00D530B2"/>
    <w:rsid w:val="00D553E3"/>
    <w:rsid w:val="00D57F6A"/>
    <w:rsid w:val="00D65BA3"/>
    <w:rsid w:val="00D846E6"/>
    <w:rsid w:val="00D905D0"/>
    <w:rsid w:val="00D90B61"/>
    <w:rsid w:val="00D91C11"/>
    <w:rsid w:val="00D91FF0"/>
    <w:rsid w:val="00D94307"/>
    <w:rsid w:val="00DA6238"/>
    <w:rsid w:val="00DB058A"/>
    <w:rsid w:val="00DB071F"/>
    <w:rsid w:val="00DB0833"/>
    <w:rsid w:val="00DB5349"/>
    <w:rsid w:val="00DB7A9D"/>
    <w:rsid w:val="00DB7EA0"/>
    <w:rsid w:val="00DC1598"/>
    <w:rsid w:val="00DF182F"/>
    <w:rsid w:val="00DF2741"/>
    <w:rsid w:val="00DF32E5"/>
    <w:rsid w:val="00DF43D8"/>
    <w:rsid w:val="00DF5812"/>
    <w:rsid w:val="00DF656E"/>
    <w:rsid w:val="00E05699"/>
    <w:rsid w:val="00E21E60"/>
    <w:rsid w:val="00E30294"/>
    <w:rsid w:val="00E324C7"/>
    <w:rsid w:val="00E34095"/>
    <w:rsid w:val="00E40996"/>
    <w:rsid w:val="00E439F7"/>
    <w:rsid w:val="00E43B8A"/>
    <w:rsid w:val="00E5056E"/>
    <w:rsid w:val="00E51F6C"/>
    <w:rsid w:val="00E530E5"/>
    <w:rsid w:val="00E54147"/>
    <w:rsid w:val="00E54691"/>
    <w:rsid w:val="00E630B4"/>
    <w:rsid w:val="00E6416E"/>
    <w:rsid w:val="00E73881"/>
    <w:rsid w:val="00E75E9D"/>
    <w:rsid w:val="00E81589"/>
    <w:rsid w:val="00E8190F"/>
    <w:rsid w:val="00E85E19"/>
    <w:rsid w:val="00E90FA4"/>
    <w:rsid w:val="00E93EB5"/>
    <w:rsid w:val="00EA45FE"/>
    <w:rsid w:val="00EB0F18"/>
    <w:rsid w:val="00EC18EC"/>
    <w:rsid w:val="00EC50CD"/>
    <w:rsid w:val="00EC6899"/>
    <w:rsid w:val="00EC75EC"/>
    <w:rsid w:val="00ED6DAF"/>
    <w:rsid w:val="00ED70D0"/>
    <w:rsid w:val="00ED7DCE"/>
    <w:rsid w:val="00EE21A7"/>
    <w:rsid w:val="00EF321A"/>
    <w:rsid w:val="00EF3573"/>
    <w:rsid w:val="00F01657"/>
    <w:rsid w:val="00F06875"/>
    <w:rsid w:val="00F11157"/>
    <w:rsid w:val="00F11A8C"/>
    <w:rsid w:val="00F154FD"/>
    <w:rsid w:val="00F15D48"/>
    <w:rsid w:val="00F26643"/>
    <w:rsid w:val="00F33561"/>
    <w:rsid w:val="00F357E7"/>
    <w:rsid w:val="00F41688"/>
    <w:rsid w:val="00F41A5F"/>
    <w:rsid w:val="00F42AC6"/>
    <w:rsid w:val="00F43F8E"/>
    <w:rsid w:val="00F452BB"/>
    <w:rsid w:val="00F54E36"/>
    <w:rsid w:val="00F56B60"/>
    <w:rsid w:val="00F61ADB"/>
    <w:rsid w:val="00F627FB"/>
    <w:rsid w:val="00F62B3D"/>
    <w:rsid w:val="00F67644"/>
    <w:rsid w:val="00F72A98"/>
    <w:rsid w:val="00F80DD2"/>
    <w:rsid w:val="00F8106C"/>
    <w:rsid w:val="00F84494"/>
    <w:rsid w:val="00F86991"/>
    <w:rsid w:val="00F87504"/>
    <w:rsid w:val="00F94A2F"/>
    <w:rsid w:val="00F9649A"/>
    <w:rsid w:val="00F97116"/>
    <w:rsid w:val="00FA78F3"/>
    <w:rsid w:val="00FA7C95"/>
    <w:rsid w:val="00FB627E"/>
    <w:rsid w:val="00FC0FD0"/>
    <w:rsid w:val="00FC2CA8"/>
    <w:rsid w:val="00FC5E98"/>
    <w:rsid w:val="00FC6CCE"/>
    <w:rsid w:val="00FC7E19"/>
    <w:rsid w:val="00FD2ECF"/>
    <w:rsid w:val="00FD3573"/>
    <w:rsid w:val="00FD531F"/>
    <w:rsid w:val="00FE2B18"/>
    <w:rsid w:val="00FE6DEF"/>
    <w:rsid w:val="00FF2FB3"/>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table" w:customStyle="1" w:styleId="TableGrid7">
    <w:name w:val="Table Grid7"/>
    <w:basedOn w:val="TableNormal"/>
    <w:next w:val="TableGrid"/>
    <w:uiPriority w:val="59"/>
    <w:rsid w:val="0083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ADC"/>
    <w:rPr>
      <w:color w:val="605E5C"/>
      <w:shd w:val="clear" w:color="auto" w:fill="E1DFDD"/>
    </w:rPr>
  </w:style>
  <w:style w:type="numbering" w:customStyle="1" w:styleId="Style1">
    <w:name w:val="Style1"/>
    <w:uiPriority w:val="99"/>
    <w:rsid w:val="00383B8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ta/id/55567-administrativa-procesa-likums"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https://www.eis.gov.lv/EKEIS/Supplier/Organizer/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F69F-A5DD-435F-829A-46DFB601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20154</Words>
  <Characters>11488</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2</cp:revision>
  <cp:lastPrinted>2020-07-28T12:01:00Z</cp:lastPrinted>
  <dcterms:created xsi:type="dcterms:W3CDTF">2023-04-12T10:45:00Z</dcterms:created>
  <dcterms:modified xsi:type="dcterms:W3CDTF">2023-04-12T10:45:00Z</dcterms:modified>
</cp:coreProperties>
</file>