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6B" w:rsidRDefault="007A25C4" w:rsidP="002D7E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>Atklāta konkursa</w:t>
      </w:r>
    </w:p>
    <w:p w:rsidR="002D7E6B" w:rsidRDefault="007A25C4" w:rsidP="002D7E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2D7E6B">
        <w:rPr>
          <w:rFonts w:ascii="Times New Roman" w:hAnsi="Times New Roman" w:cs="Times New Roman"/>
          <w:b/>
          <w:sz w:val="28"/>
          <w:szCs w:val="28"/>
        </w:rPr>
        <w:t>Elektroķirurģijas</w:t>
      </w:r>
      <w:proofErr w:type="spellEnd"/>
      <w:r w:rsidRPr="002D7E6B">
        <w:rPr>
          <w:rFonts w:ascii="Times New Roman" w:hAnsi="Times New Roman" w:cs="Times New Roman"/>
          <w:b/>
          <w:sz w:val="28"/>
          <w:szCs w:val="28"/>
        </w:rPr>
        <w:t xml:space="preserve"> instrumentu piederumi”, </w:t>
      </w:r>
    </w:p>
    <w:p w:rsidR="002D7E6B" w:rsidRDefault="007A25C4" w:rsidP="002D7E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 xml:space="preserve">identifikācijas </w:t>
      </w:r>
      <w:proofErr w:type="spellStart"/>
      <w:r w:rsidRPr="002D7E6B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2D7E6B">
        <w:rPr>
          <w:rFonts w:ascii="Times New Roman" w:hAnsi="Times New Roman" w:cs="Times New Roman"/>
          <w:b/>
          <w:sz w:val="28"/>
          <w:szCs w:val="28"/>
        </w:rPr>
        <w:t>.</w:t>
      </w:r>
      <w:r w:rsidR="002D7E6B" w:rsidRPr="002D7E6B">
        <w:rPr>
          <w:rFonts w:ascii="Times New Roman" w:hAnsi="Times New Roman" w:cs="Times New Roman"/>
          <w:b/>
          <w:sz w:val="28"/>
          <w:szCs w:val="28"/>
        </w:rPr>
        <w:t xml:space="preserve"> SKUS 2013/22 </w:t>
      </w:r>
    </w:p>
    <w:p w:rsidR="007A25C4" w:rsidRDefault="004862AE" w:rsidP="002D7E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ietvaros pretenden</w:t>
      </w:r>
      <w:bookmarkStart w:id="0" w:name="_GoBack"/>
      <w:bookmarkEnd w:id="0"/>
      <w:r w:rsidR="002D7E6B" w:rsidRPr="002D7E6B">
        <w:rPr>
          <w:rFonts w:ascii="Times New Roman" w:hAnsi="Times New Roman" w:cs="Times New Roman"/>
          <w:b/>
          <w:sz w:val="28"/>
          <w:szCs w:val="28"/>
        </w:rPr>
        <w:t>tu uzdotie jautājumi</w:t>
      </w:r>
    </w:p>
    <w:p w:rsidR="002D7E6B" w:rsidRPr="002D7E6B" w:rsidRDefault="002D7E6B" w:rsidP="002D7E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C4" w:rsidRPr="002D7E6B" w:rsidRDefault="007A25C4" w:rsidP="007A25C4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Tehniskās specifikācijas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5. pozīcija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 w:rsidRPr="00D027E0">
        <w:rPr>
          <w:rFonts w:ascii="Times New Roman" w:hAnsi="Times New Roman" w:cs="Times New Roman"/>
          <w:sz w:val="24"/>
          <w:szCs w:val="24"/>
          <w:lang w:val="lv-LV"/>
        </w:rPr>
        <w:t>Monopolārais</w:t>
      </w:r>
      <w:proofErr w:type="spellEnd"/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027E0">
        <w:rPr>
          <w:rFonts w:ascii="Times New Roman" w:hAnsi="Times New Roman" w:cs="Times New Roman"/>
          <w:sz w:val="24"/>
          <w:szCs w:val="24"/>
          <w:lang w:val="lv-LV"/>
        </w:rPr>
        <w:t>elektrokoagulācijas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savienotāja vads (lieto komplektā ar rokturi un uzgaļiem no punktiem 2.2, 2.3 un 2.4) (8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027E0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D027E0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D027E0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.)" un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6.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Monopolārais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koagulācijas rokturis (paredzēts lietoš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anai ar vadu no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2.1.punkta) (8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.)". Pēc tehniskās specifikācijas prasībām ir saprotams, ka šīs pozī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cijas ir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paredzētas lietošanai kopā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564E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2D7E6B" w:rsidRPr="00564EA7" w:rsidRDefault="002D7E6B" w:rsidP="002D7E6B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7A25C4" w:rsidRPr="00564EA7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Jautājums:</w:t>
      </w:r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E4C8F">
        <w:rPr>
          <w:rFonts w:ascii="Times New Roman" w:hAnsi="Times New Roman" w:cs="Times New Roman"/>
          <w:b/>
          <w:sz w:val="24"/>
          <w:szCs w:val="24"/>
          <w:lang w:val="lv-LV"/>
        </w:rPr>
        <w:t>Vai Pretendents drīkst piedāvāt jau rūpnieciski samontētas abas augstāk minētās pozīcijas kopā?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Jo </w:t>
      </w:r>
      <w:r>
        <w:rPr>
          <w:rFonts w:ascii="Times New Roman" w:hAnsi="Times New Roman" w:cs="Times New Roman"/>
          <w:sz w:val="24"/>
          <w:szCs w:val="24"/>
          <w:lang w:val="lv-LV"/>
        </w:rPr>
        <w:t>šis ir stabilāks un drošāks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kas nodro</w:t>
      </w:r>
      <w:r>
        <w:rPr>
          <w:rFonts w:ascii="Times New Roman" w:hAnsi="Times New Roman" w:cs="Times New Roman"/>
          <w:sz w:val="24"/>
          <w:szCs w:val="24"/>
          <w:lang w:val="lv-LV"/>
        </w:rPr>
        <w:t>šina labā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kontaktu un ērtāku detaļu tīrīšanu. Ja Pretendents drīkst piedāvāt minētās pozīcijas kopā (piedāvātājs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 ir ar v</w:t>
      </w:r>
      <w:r>
        <w:rPr>
          <w:rFonts w:ascii="Times New Roman" w:hAnsi="Times New Roman" w:cs="Times New Roman"/>
          <w:sz w:val="24"/>
          <w:szCs w:val="24"/>
          <w:lang w:val="lv-LV"/>
        </w:rPr>
        <w:t>ienu preces kodu), lū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dzu, nor</w:t>
      </w:r>
      <w:r>
        <w:rPr>
          <w:rFonts w:ascii="Times New Roman" w:hAnsi="Times New Roman" w:cs="Times New Roman"/>
          <w:sz w:val="24"/>
          <w:szCs w:val="24"/>
          <w:lang w:val="lv-LV"/>
        </w:rPr>
        <w:t>ādiet, kā jā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noform</w:t>
      </w:r>
      <w:r>
        <w:rPr>
          <w:rFonts w:ascii="Times New Roman" w:hAnsi="Times New Roman" w:cs="Times New Roman"/>
          <w:sz w:val="24"/>
          <w:szCs w:val="24"/>
          <w:lang w:val="lv-LV"/>
        </w:rPr>
        <w:t>ē piedāvā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lai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epirkum</w:t>
      </w:r>
      <w:r>
        <w:rPr>
          <w:rFonts w:ascii="Times New Roman" w:hAnsi="Times New Roman" w:cs="Times New Roman"/>
          <w:sz w:val="24"/>
          <w:szCs w:val="24"/>
          <w:lang w:val="lv-LV"/>
        </w:rPr>
        <w:t>ā iesniegto piedāvājumu vērtēš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anas proce</w:t>
      </w:r>
      <w:r>
        <w:rPr>
          <w:rFonts w:ascii="Times New Roman" w:hAnsi="Times New Roman" w:cs="Times New Roman"/>
          <w:sz w:val="24"/>
          <w:szCs w:val="24"/>
          <w:lang w:val="lv-LV"/>
        </w:rPr>
        <w:t>sā nerastos neskaidrī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bas.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Atbilde:</w:t>
      </w:r>
      <w:r w:rsidRPr="00EE4C8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9B7D0A">
        <w:rPr>
          <w:rFonts w:ascii="Times New Roman" w:hAnsi="Times New Roman" w:cs="Times New Roman"/>
          <w:sz w:val="24"/>
          <w:szCs w:val="24"/>
          <w:lang w:val="lv-LV"/>
        </w:rPr>
        <w:t xml:space="preserve">Kā norādīts specifikācijā, </w:t>
      </w:r>
      <w:proofErr w:type="spellStart"/>
      <w:r w:rsidRPr="009B7D0A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9B7D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B7D0A">
        <w:rPr>
          <w:rFonts w:ascii="Times New Roman" w:hAnsi="Times New Roman" w:cs="Times New Roman"/>
          <w:sz w:val="24"/>
          <w:szCs w:val="24"/>
          <w:lang w:val="lv-LV"/>
        </w:rPr>
        <w:t>elektrokoagulācijas</w:t>
      </w:r>
      <w:proofErr w:type="spellEnd"/>
      <w:r w:rsidRPr="009B7D0A">
        <w:rPr>
          <w:rFonts w:ascii="Times New Roman" w:hAnsi="Times New Roman" w:cs="Times New Roman"/>
          <w:sz w:val="24"/>
          <w:szCs w:val="24"/>
          <w:lang w:val="lv-LV"/>
        </w:rPr>
        <w:t xml:space="preserve"> rokturim (6. </w:t>
      </w:r>
      <w:proofErr w:type="spellStart"/>
      <w:r w:rsidRPr="009B7D0A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9B7D0A">
        <w:rPr>
          <w:rFonts w:ascii="Times New Roman" w:hAnsi="Times New Roman" w:cs="Times New Roman"/>
          <w:sz w:val="24"/>
          <w:szCs w:val="24"/>
          <w:lang w:val="lv-LV"/>
        </w:rPr>
        <w:t xml:space="preserve">.) un </w:t>
      </w:r>
      <w:proofErr w:type="spellStart"/>
      <w:r w:rsidRPr="009B7D0A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9B7D0A">
        <w:rPr>
          <w:rFonts w:ascii="Times New Roman" w:hAnsi="Times New Roman" w:cs="Times New Roman"/>
          <w:sz w:val="24"/>
          <w:szCs w:val="24"/>
          <w:lang w:val="lv-LV"/>
        </w:rPr>
        <w:t xml:space="preserve"> savienotājvadam (5. </w:t>
      </w:r>
      <w:proofErr w:type="spellStart"/>
      <w:r w:rsidRPr="009B7D0A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9B7D0A">
        <w:rPr>
          <w:rFonts w:ascii="Times New Roman" w:hAnsi="Times New Roman" w:cs="Times New Roman"/>
          <w:sz w:val="24"/>
          <w:szCs w:val="24"/>
          <w:lang w:val="lv-LV"/>
        </w:rPr>
        <w:t>.) ir jābūt atsevišķi. Tātad pretendents nedrīkst piedāvāt šīs divas sastāvdaļas rūpnieciski samontētas.</w:t>
      </w:r>
    </w:p>
    <w:p w:rsidR="007A25C4" w:rsidRDefault="007A25C4" w:rsidP="007A25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4EA7">
        <w:rPr>
          <w:rFonts w:ascii="Times New Roman" w:hAnsi="Times New Roman" w:cs="Times New Roman"/>
          <w:sz w:val="24"/>
          <w:szCs w:val="24"/>
          <w:lang w:val="lv-LV"/>
        </w:rPr>
        <w:t>Tehnisk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ās specifikācijas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29.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Monopolārais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elektrokoagulā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>cijas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 rokturis (lieto komplekta ar vadu pagari</w:t>
      </w:r>
      <w:r>
        <w:rPr>
          <w:rFonts w:ascii="Times New Roman" w:hAnsi="Times New Roman" w:cs="Times New Roman"/>
          <w:sz w:val="24"/>
          <w:szCs w:val="24"/>
          <w:lang w:val="lv-LV"/>
        </w:rPr>
        <w:t>nātāju un uzgaļ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>iem no punktiem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>3.2,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>3.3,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3.4 un 3.5) (5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.)"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30.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Monopolārais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savienotā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ja vads (5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>.)".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Pēc tehniskās specifikācijas prasībām ir saprotams, ka šīs pozī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cijas ir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paredzētas lietošanai kopā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D7E6B" w:rsidRPr="00564EA7" w:rsidRDefault="002D7E6B" w:rsidP="002D7E6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Pr="00564EA7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Jautājums:</w:t>
      </w:r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E4C8F">
        <w:rPr>
          <w:rFonts w:ascii="Times New Roman" w:hAnsi="Times New Roman" w:cs="Times New Roman"/>
          <w:b/>
          <w:sz w:val="24"/>
          <w:szCs w:val="24"/>
          <w:lang w:val="lv-LV"/>
        </w:rPr>
        <w:t>Vai Pretendents drīkst piedāvāt jau rūpnieciski samontētas abas augstāk minētās pozīcijas kopā?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Jo </w:t>
      </w:r>
      <w:r>
        <w:rPr>
          <w:rFonts w:ascii="Times New Roman" w:hAnsi="Times New Roman" w:cs="Times New Roman"/>
          <w:sz w:val="24"/>
          <w:szCs w:val="24"/>
          <w:lang w:val="lv-LV"/>
        </w:rPr>
        <w:t>šis ir stabilāks un drošāks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kas nodro</w:t>
      </w:r>
      <w:r>
        <w:rPr>
          <w:rFonts w:ascii="Times New Roman" w:hAnsi="Times New Roman" w:cs="Times New Roman"/>
          <w:sz w:val="24"/>
          <w:szCs w:val="24"/>
          <w:lang w:val="lv-LV"/>
        </w:rPr>
        <w:t>šina labā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kontaktu un ērtāku detaļu tīrīšanu. Ja Pretendents drīkst piedāvāt minētās pozīcijas kopā (piedāvātājs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 ir ar v</w:t>
      </w:r>
      <w:r>
        <w:rPr>
          <w:rFonts w:ascii="Times New Roman" w:hAnsi="Times New Roman" w:cs="Times New Roman"/>
          <w:sz w:val="24"/>
          <w:szCs w:val="24"/>
          <w:lang w:val="lv-LV"/>
        </w:rPr>
        <w:t>ienu preces kodu), lū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dzu, nor</w:t>
      </w:r>
      <w:r>
        <w:rPr>
          <w:rFonts w:ascii="Times New Roman" w:hAnsi="Times New Roman" w:cs="Times New Roman"/>
          <w:sz w:val="24"/>
          <w:szCs w:val="24"/>
          <w:lang w:val="lv-LV"/>
        </w:rPr>
        <w:t>ādiet, kā jā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noform</w:t>
      </w:r>
      <w:r>
        <w:rPr>
          <w:rFonts w:ascii="Times New Roman" w:hAnsi="Times New Roman" w:cs="Times New Roman"/>
          <w:sz w:val="24"/>
          <w:szCs w:val="24"/>
          <w:lang w:val="lv-LV"/>
        </w:rPr>
        <w:t>ē piedāvā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lai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epirkum</w:t>
      </w:r>
      <w:r>
        <w:rPr>
          <w:rFonts w:ascii="Times New Roman" w:hAnsi="Times New Roman" w:cs="Times New Roman"/>
          <w:sz w:val="24"/>
          <w:szCs w:val="24"/>
          <w:lang w:val="lv-LV"/>
        </w:rPr>
        <w:t>ā iesniegto piedāvājumu vērtēš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anas proce</w:t>
      </w:r>
      <w:r>
        <w:rPr>
          <w:rFonts w:ascii="Times New Roman" w:hAnsi="Times New Roman" w:cs="Times New Roman"/>
          <w:sz w:val="24"/>
          <w:szCs w:val="24"/>
          <w:lang w:val="lv-LV"/>
        </w:rPr>
        <w:t>sā nerastos neskaidrī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bas.</w:t>
      </w:r>
    </w:p>
    <w:p w:rsidR="007A25C4" w:rsidRPr="00564EA7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Atbilde</w:t>
      </w:r>
      <w:r w:rsidRPr="00EE4C8F">
        <w:rPr>
          <w:rFonts w:ascii="Times New Roman" w:hAnsi="Times New Roman" w:cs="Times New Roman"/>
          <w:i/>
          <w:sz w:val="24"/>
          <w:szCs w:val="24"/>
          <w:lang w:val="lv-LV"/>
        </w:rPr>
        <w:t xml:space="preserve">: </w:t>
      </w:r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Kā norādīts specifikācijā,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elektrokoagulācijas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 rokturim (29.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.) un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 xml:space="preserve"> savienotājvadam (30. </w:t>
      </w:r>
      <w:proofErr w:type="spellStart"/>
      <w:r w:rsidRPr="00564EA7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564EA7">
        <w:rPr>
          <w:rFonts w:ascii="Times New Roman" w:hAnsi="Times New Roman" w:cs="Times New Roman"/>
          <w:sz w:val="24"/>
          <w:szCs w:val="24"/>
          <w:lang w:val="lv-LV"/>
        </w:rPr>
        <w:t>.) ir jābūt atsevišķi. Tātad pretendents nedrīkst piedāvāt šīs divas sastāvdaļas rūpnieciski samontētas.</w:t>
      </w:r>
    </w:p>
    <w:p w:rsidR="007A25C4" w:rsidRDefault="007A25C4" w:rsidP="007A25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4EA7">
        <w:rPr>
          <w:rFonts w:ascii="Times New Roman" w:hAnsi="Times New Roman" w:cs="Times New Roman"/>
          <w:sz w:val="24"/>
          <w:szCs w:val="24"/>
          <w:lang w:val="lv-LV"/>
        </w:rPr>
        <w:t>Tehnisk</w:t>
      </w:r>
      <w:r>
        <w:rPr>
          <w:rFonts w:ascii="Times New Roman" w:hAnsi="Times New Roman" w:cs="Times New Roman"/>
          <w:sz w:val="24"/>
          <w:szCs w:val="24"/>
          <w:lang w:val="lv-LV"/>
        </w:rPr>
        <w:t>ās specifikācijas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52.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Monopolārais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elektrokoagulā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cijas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rokturis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(lieto komplekta ar vadu no punkta 4.2) (5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.)" un </w:t>
      </w:r>
      <w:r w:rsidRPr="00E47A9C">
        <w:rPr>
          <w:rFonts w:ascii="Times New Roman" w:hAnsi="Times New Roman" w:cs="Times New Roman"/>
          <w:sz w:val="24"/>
          <w:szCs w:val="24"/>
          <w:u w:val="single"/>
          <w:lang w:val="lv-LV"/>
        </w:rPr>
        <w:t>53. pozīcija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Monop</w:t>
      </w:r>
      <w:r>
        <w:rPr>
          <w:rFonts w:ascii="Times New Roman" w:hAnsi="Times New Roman" w:cs="Times New Roman"/>
          <w:sz w:val="24"/>
          <w:szCs w:val="24"/>
          <w:lang w:val="lv-LV"/>
        </w:rPr>
        <w:t>olā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rais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savienot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vads (5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>.)"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Pēc tehniskās specifikācijas prasībām ir saprotams, ka šīs pozī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cijas ir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paredzētas lietošanai kopā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D7E6B" w:rsidRDefault="002D7E6B" w:rsidP="002D7E6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Jautājums: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47A9C">
        <w:rPr>
          <w:rFonts w:ascii="Times New Roman" w:hAnsi="Times New Roman" w:cs="Times New Roman"/>
          <w:b/>
          <w:sz w:val="24"/>
          <w:szCs w:val="24"/>
          <w:lang w:val="lv-LV"/>
        </w:rPr>
        <w:t>Vai Pretendents drīkst piedāvāt jau rūpnieciski samontētas abas augstāk minētās pozīcijas kopā?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 xml:space="preserve">Jo </w:t>
      </w:r>
      <w:r>
        <w:rPr>
          <w:rFonts w:ascii="Times New Roman" w:hAnsi="Times New Roman" w:cs="Times New Roman"/>
          <w:sz w:val="24"/>
          <w:szCs w:val="24"/>
          <w:lang w:val="lv-LV"/>
        </w:rPr>
        <w:t>šis ir stabilāks un drošāks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kas nodro</w:t>
      </w:r>
      <w:r>
        <w:rPr>
          <w:rFonts w:ascii="Times New Roman" w:hAnsi="Times New Roman" w:cs="Times New Roman"/>
          <w:sz w:val="24"/>
          <w:szCs w:val="24"/>
          <w:lang w:val="lv-LV"/>
        </w:rPr>
        <w:t>šina labā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kontaktu un ērtāku detaļu tīrīšanu. Ja Pretendents drīkst piedāvāt minētās pozīcijas kopā </w:t>
      </w: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(piedāvātājs risinā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 ir ar v</w:t>
      </w:r>
      <w:r>
        <w:rPr>
          <w:rFonts w:ascii="Times New Roman" w:hAnsi="Times New Roman" w:cs="Times New Roman"/>
          <w:sz w:val="24"/>
          <w:szCs w:val="24"/>
          <w:lang w:val="lv-LV"/>
        </w:rPr>
        <w:t>ienu preces kodu), lū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dzu, nor</w:t>
      </w:r>
      <w:r>
        <w:rPr>
          <w:rFonts w:ascii="Times New Roman" w:hAnsi="Times New Roman" w:cs="Times New Roman"/>
          <w:sz w:val="24"/>
          <w:szCs w:val="24"/>
          <w:lang w:val="lv-LV"/>
        </w:rPr>
        <w:t>ādiet, kā jā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noform</w:t>
      </w:r>
      <w:r>
        <w:rPr>
          <w:rFonts w:ascii="Times New Roman" w:hAnsi="Times New Roman" w:cs="Times New Roman"/>
          <w:sz w:val="24"/>
          <w:szCs w:val="24"/>
          <w:lang w:val="lv-LV"/>
        </w:rPr>
        <w:t>ē piedāvā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jums, lai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epirkum</w:t>
      </w:r>
      <w:r>
        <w:rPr>
          <w:rFonts w:ascii="Times New Roman" w:hAnsi="Times New Roman" w:cs="Times New Roman"/>
          <w:sz w:val="24"/>
          <w:szCs w:val="24"/>
          <w:lang w:val="lv-LV"/>
        </w:rPr>
        <w:t>ā iesniegto piedāvājumu vērtēš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anas proce</w:t>
      </w:r>
      <w:r>
        <w:rPr>
          <w:rFonts w:ascii="Times New Roman" w:hAnsi="Times New Roman" w:cs="Times New Roman"/>
          <w:sz w:val="24"/>
          <w:szCs w:val="24"/>
          <w:lang w:val="lv-LV"/>
        </w:rPr>
        <w:t>sā nerastos neskaidrī</w:t>
      </w:r>
      <w:r w:rsidRPr="00D027E0">
        <w:rPr>
          <w:rFonts w:ascii="Times New Roman" w:hAnsi="Times New Roman" w:cs="Times New Roman"/>
          <w:sz w:val="24"/>
          <w:szCs w:val="24"/>
          <w:lang w:val="lv-LV"/>
        </w:rPr>
        <w:t>bas.</w:t>
      </w:r>
    </w:p>
    <w:p w:rsidR="007A25C4" w:rsidRPr="00E47A9C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Atbilde</w:t>
      </w:r>
      <w:r w:rsidRPr="00E47A9C">
        <w:rPr>
          <w:rFonts w:ascii="Times New Roman" w:hAnsi="Times New Roman" w:cs="Times New Roman"/>
          <w:i/>
          <w:sz w:val="24"/>
          <w:szCs w:val="24"/>
          <w:lang w:val="lv-LV"/>
        </w:rPr>
        <w:t xml:space="preserve">: 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Kā norādīts specifikācijā,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elektrokoagulācijas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rokturim (52.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.) un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monopolārajam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savienotājvadam (53. 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poz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>.) ir jābūt atsevišķi. Tātad pretendents nedrīkst piedāvāt šīs divas sastāvdaļas rūpnieciski samontētas.</w:t>
      </w:r>
    </w:p>
    <w:p w:rsidR="007A25C4" w:rsidRPr="00EE4C8F" w:rsidRDefault="007A25C4" w:rsidP="007A25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Tehniskās specifikācijas 3. pozīcija ,,Pacienta neitrālais elektrods (1500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>.)";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15.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,,Neitrālā plate ar savienotājvadu (3000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.)";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18.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,,Neitrālā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plate 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savienotājvadu (3000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.)";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48.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,,Vienreizlietojams pasī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vais elektrods (200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.)";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56.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,,Neitrālā plate ar savienotājvadu (1300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E47A9C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E47A9C">
        <w:rPr>
          <w:rFonts w:ascii="Times New Roman" w:hAnsi="Times New Roman" w:cs="Times New Roman"/>
          <w:sz w:val="24"/>
          <w:szCs w:val="24"/>
          <w:lang w:val="lv-LV"/>
        </w:rPr>
        <w:t>.)";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71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,,Neitrālā plate/elektrods (200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.)" un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73.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,,Neitrālā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 xml:space="preserve"> pl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ate/elektrods (250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.)". Pē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c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tehniskā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s sp</w:t>
      </w:r>
      <w:r>
        <w:rPr>
          <w:rFonts w:ascii="Times New Roman" w:hAnsi="Times New Roman" w:cs="Times New Roman"/>
          <w:sz w:val="24"/>
          <w:szCs w:val="24"/>
          <w:lang w:val="lv-LV"/>
        </w:rPr>
        <w:t>ecifikācijas prasībām ir saprotams, ka minētās pozīcijas ir jāpiedāvā ar savienotā</w:t>
      </w:r>
      <w:r w:rsidRPr="00E47A9C">
        <w:rPr>
          <w:rFonts w:ascii="Times New Roman" w:hAnsi="Times New Roman" w:cs="Times New Roman"/>
          <w:sz w:val="24"/>
          <w:szCs w:val="24"/>
          <w:lang w:val="lv-LV"/>
        </w:rPr>
        <w:t>jvadu.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2D7E6B" w:rsidRDefault="002D7E6B" w:rsidP="002D7E6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Jautājums: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Vai iepirkumu komisija akceptēs Pretendenta iesniegto ekonomiski izdevīgāku risinājumu – vienreizlietojamās neitrālās plates vai elektrodi tiks piedāvātas komplektā ar atkārtojami lietojamu savienotājvadu? 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>Ja Šāds risinājums tiek akceptēts, lūdzu, norādiet nepieciešamo savienotājvadu daudzumu pozīcijās, kurās var piedāvāt šādu risinājumu. Vēlamies uzsvērt, ka vienreizlietojamie neitrālie elektrodi komplektā ar vadu parasti ir ar starptautisko savienojumu.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Atbilde</w:t>
      </w:r>
      <w:r w:rsidRPr="00000CFF">
        <w:rPr>
          <w:rFonts w:ascii="Times New Roman" w:hAnsi="Times New Roman" w:cs="Times New Roman"/>
          <w:i/>
          <w:sz w:val="24"/>
          <w:szCs w:val="24"/>
          <w:lang w:val="lv-LV"/>
        </w:rPr>
        <w:t>: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3.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– Drīkst piedāvāt </w:t>
      </w:r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>tikai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vienreizlietojamos neitrālos elektrodus kopā ar vienreizlietojamiem savienotājvadiem (tā, kā norādīts specifikācijā – 1500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.).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15.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– Drīkst piedāvāt arī vienreizlietojamo neitrālo plati (3000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.) komplektā ar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daudzreizlietojamu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savienotājvadu (10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18.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– Drīkst piedāvāt arī vienreizlietojamo neitrālo plati (3000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.) komplektā ar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daudzreizlietojamu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savienotājvadu (10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48.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- Drīkst piedāvāt arī vienreizlietojamo pasīvo elektrodu (200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.) ar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daudzreizlietojamu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savienotājvadu (3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56.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– Drīkst piedāvāt </w:t>
      </w:r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>tikai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vienreizlietojamos neitrālos elektrodus kopā ar vienreizlietojamiem savienotājvadiem (tā, kā norādīts specifikācijā – 1300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.).</w:t>
      </w:r>
    </w:p>
    <w:p w:rsidR="007A25C4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71.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- Drīkst piedāvāt arī vienreizlietojamo neitrālo plati (200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.) komplektā ar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daudzreizlietojamu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savienotājvadu (2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7A25C4" w:rsidRPr="00000CFF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u w:val="single"/>
          <w:lang w:val="lv-LV"/>
        </w:rPr>
        <w:t>73. pozīcija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- Drīkst piedāvāt </w:t>
      </w:r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>tikai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vienreizlietojamos neitrālos elektrodus kopā ar vienreizlietojamiem savienotājvadiem (tā, kā norādīts specifikācijā – 250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.).</w:t>
      </w:r>
    </w:p>
    <w:p w:rsidR="007A25C4" w:rsidRPr="00EE4C8F" w:rsidRDefault="007A25C4" w:rsidP="007A25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Default="007A25C4" w:rsidP="007A25C4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0CFF">
        <w:rPr>
          <w:rFonts w:ascii="Times New Roman" w:hAnsi="Times New Roman" w:cs="Times New Roman"/>
          <w:sz w:val="24"/>
          <w:szCs w:val="24"/>
          <w:lang w:val="lv-LV"/>
        </w:rPr>
        <w:t>Tehnisk</w:t>
      </w:r>
      <w:r>
        <w:rPr>
          <w:rFonts w:ascii="Times New Roman" w:hAnsi="Times New Roman" w:cs="Times New Roman"/>
          <w:sz w:val="24"/>
          <w:szCs w:val="24"/>
          <w:lang w:val="lv-LV"/>
        </w:rPr>
        <w:t>ās specifikā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>cij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Pr="00FD169D">
        <w:rPr>
          <w:rFonts w:ascii="Times New Roman" w:hAnsi="Times New Roman" w:cs="Times New Roman"/>
          <w:sz w:val="24"/>
          <w:szCs w:val="24"/>
          <w:u w:val="single"/>
          <w:lang w:val="lv-LV"/>
        </w:rPr>
        <w:t>47. pozīcija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>,,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Monopol</w:t>
      </w:r>
      <w:r>
        <w:rPr>
          <w:rFonts w:ascii="Times New Roman" w:hAnsi="Times New Roman" w:cs="Times New Roman"/>
          <w:sz w:val="24"/>
          <w:szCs w:val="24"/>
          <w:lang w:val="lv-LV"/>
        </w:rPr>
        <w:t>ārais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savienotā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ja vads (1 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gab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./</w:t>
      </w:r>
      <w:proofErr w:type="spellStart"/>
      <w:r w:rsidRPr="00000CFF">
        <w:rPr>
          <w:rFonts w:ascii="Times New Roman" w:hAnsi="Times New Roman" w:cs="Times New Roman"/>
          <w:sz w:val="24"/>
          <w:szCs w:val="24"/>
          <w:lang w:val="lv-LV"/>
        </w:rPr>
        <w:t>g</w:t>
      </w:r>
      <w:proofErr w:type="spellEnd"/>
      <w:r w:rsidRPr="00000CFF">
        <w:rPr>
          <w:rFonts w:ascii="Times New Roman" w:hAnsi="Times New Roman" w:cs="Times New Roman"/>
          <w:sz w:val="24"/>
          <w:szCs w:val="24"/>
          <w:lang w:val="lv-LV"/>
        </w:rPr>
        <w:t>.)".</w:t>
      </w:r>
    </w:p>
    <w:p w:rsidR="002D7E6B" w:rsidRDefault="002D7E6B" w:rsidP="002D7E6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A25C4" w:rsidRPr="00000CFF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Jautājums:</w:t>
      </w:r>
      <w:r w:rsidRPr="00000C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Lūdzam precizēt, kāda ražotāja </w:t>
      </w:r>
      <w:proofErr w:type="spellStart"/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>histero-rezektoskopu</w:t>
      </w:r>
      <w:proofErr w:type="spellEnd"/>
      <w:r w:rsidRPr="00000C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Pasūtītājs izmanto?</w:t>
      </w:r>
    </w:p>
    <w:p w:rsidR="007A25C4" w:rsidRPr="00564EA7" w:rsidRDefault="007A25C4" w:rsidP="007A2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7E6B">
        <w:rPr>
          <w:rFonts w:ascii="Times New Roman" w:hAnsi="Times New Roman" w:cs="Times New Roman"/>
          <w:b/>
          <w:i/>
          <w:sz w:val="24"/>
          <w:szCs w:val="24"/>
          <w:lang w:val="lv-LV"/>
        </w:rPr>
        <w:t>Atbilde: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E4C8F">
        <w:rPr>
          <w:rFonts w:ascii="Times New Roman" w:hAnsi="Times New Roman" w:cs="Times New Roman"/>
          <w:sz w:val="24"/>
          <w:szCs w:val="24"/>
          <w:lang w:val="lv-LV"/>
        </w:rPr>
        <w:t>3. operāciju bloka (</w:t>
      </w:r>
      <w:proofErr w:type="spellStart"/>
      <w:r w:rsidRPr="00EE4C8F">
        <w:rPr>
          <w:rFonts w:ascii="Times New Roman" w:hAnsi="Times New Roman" w:cs="Times New Roman"/>
          <w:sz w:val="24"/>
          <w:szCs w:val="24"/>
          <w:lang w:val="lv-LV"/>
        </w:rPr>
        <w:t>torakālā</w:t>
      </w:r>
      <w:proofErr w:type="spellEnd"/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un ginekoloģijas ķirurģija) lietošanā ir </w:t>
      </w:r>
      <w:proofErr w:type="spellStart"/>
      <w:r w:rsidRPr="00EE4C8F">
        <w:rPr>
          <w:rFonts w:ascii="Times New Roman" w:hAnsi="Times New Roman" w:cs="Times New Roman"/>
          <w:sz w:val="24"/>
          <w:szCs w:val="24"/>
          <w:lang w:val="lv-LV"/>
        </w:rPr>
        <w:t>Karl</w:t>
      </w:r>
      <w:proofErr w:type="spellEnd"/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EE4C8F">
        <w:rPr>
          <w:rFonts w:ascii="Times New Roman" w:hAnsi="Times New Roman" w:cs="Times New Roman"/>
          <w:sz w:val="24"/>
          <w:szCs w:val="24"/>
          <w:lang w:val="lv-LV"/>
        </w:rPr>
        <w:t>Storz</w:t>
      </w:r>
      <w:proofErr w:type="spellEnd"/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E4C8F">
        <w:rPr>
          <w:rFonts w:ascii="Times New Roman" w:hAnsi="Times New Roman" w:cs="Times New Roman"/>
          <w:sz w:val="24"/>
          <w:szCs w:val="24"/>
          <w:lang w:val="lv-LV"/>
        </w:rPr>
        <w:t>histero-rezektoskops</w:t>
      </w:r>
      <w:proofErr w:type="spellEnd"/>
      <w:r w:rsidRPr="00EE4C8F">
        <w:rPr>
          <w:rFonts w:ascii="Times New Roman" w:hAnsi="Times New Roman" w:cs="Times New Roman"/>
          <w:sz w:val="24"/>
          <w:szCs w:val="24"/>
          <w:lang w:val="lv-LV"/>
        </w:rPr>
        <w:t xml:space="preserve"> (47. pozīcija).</w:t>
      </w:r>
    </w:p>
    <w:p w:rsidR="007A25C4" w:rsidRDefault="007A25C4"/>
    <w:sectPr w:rsidR="007A25C4" w:rsidSect="002D7E6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F6E"/>
    <w:multiLevelType w:val="hybridMultilevel"/>
    <w:tmpl w:val="7C1253D6"/>
    <w:lvl w:ilvl="0" w:tplc="D4263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B"/>
    <w:rsid w:val="002D7E6B"/>
    <w:rsid w:val="002F5182"/>
    <w:rsid w:val="00355BAB"/>
    <w:rsid w:val="004862AE"/>
    <w:rsid w:val="00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C4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2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A2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C4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2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A2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Biteniece</dc:creator>
  <cp:keywords/>
  <dc:description/>
  <cp:lastModifiedBy>Ruta Biteniece</cp:lastModifiedBy>
  <cp:revision>3</cp:revision>
  <dcterms:created xsi:type="dcterms:W3CDTF">2013-07-24T08:18:00Z</dcterms:created>
  <dcterms:modified xsi:type="dcterms:W3CDTF">2013-07-24T10:22:00Z</dcterms:modified>
</cp:coreProperties>
</file>