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DA" w:rsidRDefault="00817879" w:rsidP="00F151DA">
      <w:pPr>
        <w:ind w:right="-649"/>
        <w:jc w:val="center"/>
        <w:rPr>
          <w:b/>
          <w:bCs/>
          <w:lang w:eastAsia="lv-LV"/>
        </w:rPr>
      </w:pPr>
      <w:r>
        <w:rPr>
          <w:b/>
          <w:bCs/>
          <w:lang w:eastAsia="lv-LV"/>
        </w:rPr>
        <w:t>Iepirkuma komisijas 2018</w:t>
      </w:r>
      <w:r w:rsidR="00FF76A9">
        <w:rPr>
          <w:b/>
          <w:bCs/>
          <w:lang w:eastAsia="lv-LV"/>
        </w:rPr>
        <w:t xml:space="preserve">.gada </w:t>
      </w:r>
      <w:r w:rsidR="00E834B8">
        <w:rPr>
          <w:b/>
          <w:bCs/>
          <w:lang w:eastAsia="lv-LV"/>
        </w:rPr>
        <w:t xml:space="preserve">12.februāra </w:t>
      </w:r>
      <w:r w:rsidR="00F151DA">
        <w:rPr>
          <w:b/>
          <w:bCs/>
          <w:lang w:eastAsia="lv-LV"/>
        </w:rPr>
        <w:t>komisijas sēdē sniegtā</w:t>
      </w:r>
      <w:r w:rsidR="00E834B8">
        <w:rPr>
          <w:b/>
          <w:bCs/>
          <w:lang w:eastAsia="lv-LV"/>
        </w:rPr>
        <w:t>s</w:t>
      </w:r>
    </w:p>
    <w:p w:rsidR="00F151DA" w:rsidRDefault="00817879" w:rsidP="00F151DA">
      <w:pPr>
        <w:ind w:right="-649"/>
        <w:jc w:val="center"/>
        <w:rPr>
          <w:b/>
          <w:bCs/>
          <w:lang w:eastAsia="lv-LV"/>
        </w:rPr>
      </w:pPr>
      <w:r>
        <w:rPr>
          <w:b/>
          <w:bCs/>
          <w:lang w:eastAsia="lv-LV"/>
        </w:rPr>
        <w:t>atbilde</w:t>
      </w:r>
      <w:r w:rsidR="00E834B8">
        <w:rPr>
          <w:b/>
          <w:bCs/>
          <w:lang w:eastAsia="lv-LV"/>
        </w:rPr>
        <w:t>s uz uzdotajiem jautājumiem</w:t>
      </w:r>
      <w:r w:rsidR="00F151DA">
        <w:rPr>
          <w:b/>
          <w:bCs/>
          <w:lang w:eastAsia="lv-LV"/>
        </w:rPr>
        <w:t xml:space="preserve"> par </w:t>
      </w:r>
    </w:p>
    <w:p w:rsidR="00F151DA" w:rsidRDefault="002C1AC5" w:rsidP="00F151DA">
      <w:pPr>
        <w:jc w:val="center"/>
        <w:rPr>
          <w:rFonts w:eastAsia="Calibri"/>
        </w:rPr>
      </w:pPr>
      <w:r>
        <w:rPr>
          <w:b/>
          <w:bCs/>
          <w:lang w:eastAsia="lv-LV"/>
        </w:rPr>
        <w:t>atklāta konkursa “</w:t>
      </w:r>
      <w:r w:rsidR="0040269B" w:rsidRPr="0040269B">
        <w:rPr>
          <w:b/>
          <w:bCs/>
          <w:lang w:eastAsia="lv-LV"/>
        </w:rPr>
        <w:t xml:space="preserve">Nieru </w:t>
      </w:r>
      <w:proofErr w:type="spellStart"/>
      <w:r w:rsidR="0040269B" w:rsidRPr="0040269B">
        <w:rPr>
          <w:b/>
          <w:bCs/>
          <w:lang w:eastAsia="lv-LV"/>
        </w:rPr>
        <w:t>aizstājterapijas</w:t>
      </w:r>
      <w:proofErr w:type="spellEnd"/>
      <w:r w:rsidR="0040269B" w:rsidRPr="0040269B">
        <w:rPr>
          <w:b/>
          <w:bCs/>
          <w:lang w:eastAsia="lv-LV"/>
        </w:rPr>
        <w:t xml:space="preserve"> nodrošinājuma preču piegāde</w:t>
      </w:r>
      <w:r w:rsidR="00F151DA">
        <w:rPr>
          <w:b/>
          <w:bCs/>
          <w:lang w:eastAsia="lv-LV"/>
        </w:rPr>
        <w:t xml:space="preserve">”, </w:t>
      </w:r>
    </w:p>
    <w:p w:rsidR="00F151DA" w:rsidRDefault="002C1AC5" w:rsidP="00F151DA">
      <w:pPr>
        <w:ind w:right="-649"/>
        <w:jc w:val="center"/>
        <w:rPr>
          <w:b/>
          <w:bCs/>
          <w:lang w:eastAsia="lv-LV"/>
        </w:rPr>
      </w:pPr>
      <w:r>
        <w:rPr>
          <w:b/>
          <w:bCs/>
          <w:lang w:eastAsia="lv-LV"/>
        </w:rPr>
        <w:t>ID Nr.</w:t>
      </w:r>
      <w:r w:rsidR="0040269B">
        <w:rPr>
          <w:b/>
          <w:bCs/>
          <w:lang w:eastAsia="lv-LV"/>
        </w:rPr>
        <w:t xml:space="preserve"> PSKUS 2018/1</w:t>
      </w:r>
      <w:r w:rsidR="00F151DA">
        <w:rPr>
          <w:b/>
          <w:bCs/>
          <w:lang w:eastAsia="lv-LV"/>
        </w:rPr>
        <w:t xml:space="preserve">, nolikumu </w:t>
      </w:r>
    </w:p>
    <w:p w:rsidR="00CE71D4" w:rsidRDefault="00CE71D4"/>
    <w:p w:rsidR="00CE71D4" w:rsidRDefault="00CE71D4" w:rsidP="00CE71D4">
      <w:pPr>
        <w:spacing w:before="60"/>
        <w:outlineLvl w:val="3"/>
      </w:pPr>
    </w:p>
    <w:p w:rsidR="00E834B8" w:rsidRDefault="00E834B8" w:rsidP="00E834B8">
      <w:pPr>
        <w:pStyle w:val="PlainText"/>
        <w:ind w:firstLine="567"/>
        <w:rPr>
          <w:rFonts w:ascii="Times New Roman" w:hAnsi="Times New Roman" w:cs="Times New Roman"/>
          <w:b/>
          <w:sz w:val="24"/>
          <w:szCs w:val="24"/>
          <w:u w:val="single"/>
        </w:rPr>
      </w:pPr>
      <w:r>
        <w:rPr>
          <w:rFonts w:ascii="Times New Roman" w:hAnsi="Times New Roman" w:cs="Times New Roman"/>
          <w:b/>
          <w:sz w:val="24"/>
          <w:szCs w:val="24"/>
          <w:u w:val="single"/>
        </w:rPr>
        <w:t>1. jautājums:</w:t>
      </w:r>
    </w:p>
    <w:p w:rsidR="00E834B8" w:rsidRDefault="00E834B8" w:rsidP="00E834B8">
      <w:pPr>
        <w:pStyle w:val="PlainText"/>
        <w:tabs>
          <w:tab w:val="left" w:pos="426"/>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Nolikuma 3.4.4.1.punktā norādīts - Lai apliecinātu nolikuma 3.4.4.punkta izpildi, pretendentam jāiesniedz ražotāja vai tā autorizēta pārstāvja apliecinoši dokumenti, kas ļauj pretendentam nodrošināt tā piedāvātās preces izplatīšanu Eiropas Savienībā, tajā skaitā Latvijas Republikas teritorijā. Ja pretendents iesniedz ražotāja tiešā pārstāvja izsniegtu pilnvarojumu par tiesībām izplatīt un veikt piedāvātās preces servisu Latvijas Republikas (vai Eiropas Savienības) teritorijā, piedāvājumam jāpievieno dokumenti, kas apliecina šī tiešā pārstāvja tiesības nodot pilnvarojumu trešajām pusēm ražotāja produkta izplatīšanai un servisa nodrošināšanai.</w:t>
      </w:r>
    </w:p>
    <w:p w:rsidR="00E834B8" w:rsidRDefault="00E834B8" w:rsidP="00E834B8">
      <w:pPr>
        <w:pStyle w:val="PlainText"/>
        <w:tabs>
          <w:tab w:val="left" w:pos="426"/>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Lūdzam skaidrot, vai par atbilstošiem šai prasībai tiks uzskatīti tikai dokumenti, kurus piegādātājs tieši saņēmis no ražotāja/tā autorizētā (tiešā) pārstāvja, vai arī pieļaujami dažādi dokumenti nolikuma 3.4.4.punkta prasības apliecināšanai?</w:t>
      </w:r>
    </w:p>
    <w:p w:rsidR="00E834B8" w:rsidRDefault="00E834B8" w:rsidP="00E834B8">
      <w:pPr>
        <w:pStyle w:val="PlainText"/>
        <w:tabs>
          <w:tab w:val="left" w:pos="426"/>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Nolikuma 3.4.4.1.punkts attiecināts uz visām iepirkuma daļām, tādēļ lūdzam skaidrot jēdzienu “preces serviss” - kāda veida servisa pakalpojumi paredzēti precēm (piemēram, </w:t>
      </w:r>
      <w:proofErr w:type="spellStart"/>
      <w:r>
        <w:rPr>
          <w:rFonts w:ascii="Times New Roman" w:hAnsi="Times New Roman" w:cs="Times New Roman"/>
          <w:sz w:val="24"/>
          <w:szCs w:val="24"/>
        </w:rPr>
        <w:t>Imunosorbcijas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buferšķīdums</w:t>
      </w:r>
      <w:proofErr w:type="spellEnd"/>
      <w:r>
        <w:rPr>
          <w:rFonts w:ascii="Times New Roman" w:hAnsi="Times New Roman" w:cs="Times New Roman"/>
          <w:sz w:val="24"/>
          <w:szCs w:val="24"/>
        </w:rPr>
        <w:t>, vienreiz lietojamas plastmasas adatas) un no kura nolikuma (tehniskās specifikācijas) punkta minētais ir secināms.</w:t>
      </w:r>
    </w:p>
    <w:p w:rsidR="00E834B8" w:rsidRDefault="00E834B8" w:rsidP="00E834B8">
      <w:pPr>
        <w:pStyle w:val="PlainText"/>
        <w:rPr>
          <w:rFonts w:ascii="Times New Roman" w:hAnsi="Times New Roman" w:cs="Times New Roman"/>
          <w:sz w:val="24"/>
          <w:szCs w:val="24"/>
        </w:rPr>
      </w:pPr>
    </w:p>
    <w:p w:rsidR="00E834B8" w:rsidRDefault="00E834B8" w:rsidP="00E834B8">
      <w:pPr>
        <w:pStyle w:val="PlainText"/>
        <w:ind w:firstLine="567"/>
        <w:rPr>
          <w:rFonts w:ascii="Times New Roman" w:hAnsi="Times New Roman" w:cs="Times New Roman"/>
          <w:b/>
          <w:sz w:val="24"/>
          <w:szCs w:val="24"/>
          <w:u w:val="single"/>
        </w:rPr>
      </w:pPr>
      <w:r>
        <w:rPr>
          <w:rFonts w:ascii="Times New Roman" w:hAnsi="Times New Roman" w:cs="Times New Roman"/>
          <w:b/>
          <w:sz w:val="24"/>
          <w:szCs w:val="24"/>
          <w:u w:val="single"/>
        </w:rPr>
        <w:t>Atbilde uz 1.jautājumu:</w:t>
      </w:r>
    </w:p>
    <w:p w:rsidR="00E834B8" w:rsidRDefault="00E834B8" w:rsidP="00E834B8">
      <w:pPr>
        <w:pStyle w:val="PlainText"/>
        <w:ind w:firstLine="720"/>
        <w:jc w:val="both"/>
        <w:rPr>
          <w:rFonts w:ascii="Times New Roman" w:hAnsi="Times New Roman" w:cs="Times New Roman"/>
          <w:b/>
          <w:sz w:val="24"/>
          <w:szCs w:val="24"/>
          <w:u w:val="single"/>
        </w:rPr>
      </w:pPr>
      <w:r>
        <w:rPr>
          <w:rFonts w:ascii="Times New Roman" w:hAnsi="Times New Roman" w:cs="Times New Roman"/>
          <w:sz w:val="24"/>
          <w:szCs w:val="24"/>
        </w:rPr>
        <w:t xml:space="preserve">Lai apliecinātu atbilstību nolikuma 3.4.4. punktam, pretendentam nepieciešams iesniegt ražotāja vai tā autorizēta pārstāvja apliecinošu dokumentu, lai mēs gūtu pārliecību, ka pretendents būs spējīgs veikt visas nepieciešamās darbības, kas ir saistītas ar </w:t>
      </w:r>
      <w:proofErr w:type="spellStart"/>
      <w:r>
        <w:rPr>
          <w:rFonts w:ascii="Times New Roman" w:hAnsi="Times New Roman" w:cs="Times New Roman"/>
          <w:sz w:val="24"/>
          <w:szCs w:val="24"/>
        </w:rPr>
        <w:t>vigilances</w:t>
      </w:r>
      <w:proofErr w:type="spellEnd"/>
      <w:r>
        <w:rPr>
          <w:rFonts w:ascii="Times New Roman" w:hAnsi="Times New Roman" w:cs="Times New Roman"/>
          <w:sz w:val="24"/>
          <w:szCs w:val="24"/>
        </w:rPr>
        <w:t xml:space="preserve"> situāciju. </w:t>
      </w:r>
    </w:p>
    <w:p w:rsidR="00E834B8" w:rsidRDefault="00E834B8" w:rsidP="00E834B8">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Nolikuma 3.4.4.1. punktā ir noteiktas prasības dokumentiem, kas apliecina 3.4.4. punkta izpildi – pretendentam ir tiesības izplatīt piedāvāto Preci Eiropas Savienībā, tajā skaitā Latvijas Republikas teritorijā.</w:t>
      </w:r>
    </w:p>
    <w:p w:rsidR="00E834B8" w:rsidRDefault="00E834B8" w:rsidP="00E834B8">
      <w:pPr>
        <w:pStyle w:val="PlainText"/>
        <w:rPr>
          <w:rFonts w:ascii="Times New Roman" w:hAnsi="Times New Roman" w:cs="Times New Roman"/>
          <w:sz w:val="24"/>
          <w:szCs w:val="24"/>
        </w:rPr>
      </w:pPr>
      <w:bookmarkStart w:id="0" w:name="_GoBack"/>
      <w:bookmarkEnd w:id="0"/>
    </w:p>
    <w:p w:rsidR="00E834B8" w:rsidRDefault="00E834B8" w:rsidP="00E834B8">
      <w:pPr>
        <w:pStyle w:val="PlainText"/>
        <w:rPr>
          <w:rFonts w:ascii="Times New Roman" w:hAnsi="Times New Roman" w:cs="Times New Roman"/>
          <w:sz w:val="24"/>
          <w:szCs w:val="24"/>
        </w:rPr>
      </w:pPr>
    </w:p>
    <w:p w:rsidR="00E834B8" w:rsidRDefault="00E834B8" w:rsidP="00E834B8">
      <w:pPr>
        <w:pStyle w:val="PlainText"/>
        <w:numPr>
          <w:ilvl w:val="0"/>
          <w:numId w:val="5"/>
        </w:numPr>
        <w:tabs>
          <w:tab w:val="left" w:pos="851"/>
        </w:tabs>
        <w:ind w:left="0" w:firstLine="567"/>
        <w:rPr>
          <w:rFonts w:ascii="Times New Roman" w:hAnsi="Times New Roman" w:cs="Times New Roman"/>
          <w:sz w:val="24"/>
          <w:szCs w:val="24"/>
        </w:rPr>
      </w:pPr>
      <w:r>
        <w:rPr>
          <w:rFonts w:ascii="Times New Roman" w:hAnsi="Times New Roman" w:cs="Times New Roman"/>
          <w:b/>
          <w:sz w:val="24"/>
          <w:szCs w:val="24"/>
          <w:u w:val="single"/>
        </w:rPr>
        <w:t>Jautājums</w:t>
      </w:r>
      <w:r>
        <w:rPr>
          <w:rFonts w:ascii="Times New Roman" w:hAnsi="Times New Roman" w:cs="Times New Roman"/>
          <w:sz w:val="24"/>
          <w:szCs w:val="24"/>
        </w:rPr>
        <w:tab/>
      </w:r>
    </w:p>
    <w:p w:rsidR="00E834B8" w:rsidRDefault="00E834B8" w:rsidP="00E834B8">
      <w:pPr>
        <w:pStyle w:val="PlainText"/>
        <w:ind w:firstLine="567"/>
        <w:jc w:val="both"/>
        <w:rPr>
          <w:rFonts w:ascii="Times New Roman" w:hAnsi="Times New Roman" w:cs="Times New Roman"/>
          <w:sz w:val="24"/>
          <w:szCs w:val="24"/>
        </w:rPr>
      </w:pPr>
      <w:r>
        <w:rPr>
          <w:rFonts w:ascii="Times New Roman" w:hAnsi="Times New Roman" w:cs="Times New Roman"/>
          <w:sz w:val="24"/>
          <w:szCs w:val="24"/>
        </w:rPr>
        <w:t xml:space="preserve">Nolikuma 3.5.1.punktā norādīts, ka pretendents, iesniedzot tehnisko piedāvājumu, cita starpā apstiprina tās kvalitāti un garantiju. Nolikuma 1.pielikuma 4.7.punktā pretendents “apliecina, ka nodrošināsim Atklāta konkursa tehniskās specifikācijas pilnā riska Preču garantiju”. </w:t>
      </w:r>
    </w:p>
    <w:p w:rsidR="00E834B8" w:rsidRDefault="00E834B8" w:rsidP="00E834B8">
      <w:pPr>
        <w:pStyle w:val="PlainText"/>
        <w:jc w:val="both"/>
        <w:rPr>
          <w:rFonts w:ascii="Times New Roman" w:hAnsi="Times New Roman" w:cs="Times New Roman"/>
          <w:sz w:val="24"/>
          <w:szCs w:val="24"/>
        </w:rPr>
      </w:pPr>
      <w:r>
        <w:rPr>
          <w:rFonts w:ascii="Times New Roman" w:hAnsi="Times New Roman" w:cs="Times New Roman"/>
          <w:sz w:val="24"/>
          <w:szCs w:val="24"/>
        </w:rPr>
        <w:t>Atbilstoši Publisko iepirkumu likuma 20.panta ceturtajai daļai tehniskajās specifikācijās nosaka publiskiem piegādes līgumiem nepieciešamajām piegādēm izvirzītās prasības. Attiecīgi tehniskajā specifikācijā ir norādāmas konkrētas prasības gan iepirkuma priekšmeta kvalitātei, gan garantijai.</w:t>
      </w:r>
    </w:p>
    <w:p w:rsidR="00E834B8" w:rsidRDefault="00E834B8" w:rsidP="00E834B8">
      <w:pPr>
        <w:pStyle w:val="PlainText"/>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Lūdzam skaidrot, kādām prasībām jāatbilst “pilnā riska Preču garantijai” un no kura nolikuma (tehniskās specifikācijas) punkta minētais izriet.</w:t>
      </w:r>
    </w:p>
    <w:p w:rsidR="00E834B8" w:rsidRDefault="00E834B8" w:rsidP="00E834B8">
      <w:pPr>
        <w:pStyle w:val="PlainText"/>
        <w:jc w:val="both"/>
        <w:rPr>
          <w:rFonts w:ascii="Times New Roman" w:hAnsi="Times New Roman" w:cs="Times New Roman"/>
          <w:sz w:val="24"/>
          <w:szCs w:val="24"/>
        </w:rPr>
      </w:pPr>
    </w:p>
    <w:p w:rsidR="00E834B8" w:rsidRDefault="00E834B8" w:rsidP="00E834B8">
      <w:pPr>
        <w:pStyle w:val="PlainText"/>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Atbilde uz 2.jautājumu:</w:t>
      </w:r>
    </w:p>
    <w:p w:rsidR="00E834B8" w:rsidRDefault="00E834B8" w:rsidP="00E834B8">
      <w:pPr>
        <w:pStyle w:val="PlainText"/>
        <w:jc w:val="both"/>
        <w:rPr>
          <w:rFonts w:ascii="Times New Roman" w:hAnsi="Times New Roman" w:cs="Times New Roman"/>
          <w:sz w:val="24"/>
          <w:szCs w:val="24"/>
        </w:rPr>
      </w:pPr>
      <w:r>
        <w:rPr>
          <w:rFonts w:ascii="Times New Roman" w:hAnsi="Times New Roman" w:cs="Times New Roman"/>
          <w:sz w:val="24"/>
          <w:szCs w:val="24"/>
        </w:rPr>
        <w:t>Lūgums šo jautājumu vērtēt līguma kontekstā, kas nosaka, ka līguma prasībām neatbilstošas un/vai nekvalitatīvas Preces piegādes gadījumā, piegādātāja pienākums ir ne vēlāk kā 2 (divu) darba dienu laikā apmainīt to pret jaunu, nelietotu un kvalitatīvu Preci uz sava rēķina.</w:t>
      </w:r>
    </w:p>
    <w:p w:rsidR="00E834B8" w:rsidRDefault="00E834B8" w:rsidP="00E834B8">
      <w:pPr>
        <w:pStyle w:val="PlainText"/>
        <w:rPr>
          <w:rFonts w:ascii="Times New Roman" w:hAnsi="Times New Roman" w:cs="Times New Roman"/>
          <w:sz w:val="24"/>
          <w:szCs w:val="24"/>
        </w:rPr>
      </w:pPr>
    </w:p>
    <w:p w:rsidR="00E834B8" w:rsidRDefault="00E834B8" w:rsidP="00E834B8">
      <w:pPr>
        <w:pStyle w:val="PlainText"/>
        <w:numPr>
          <w:ilvl w:val="0"/>
          <w:numId w:val="5"/>
        </w:numPr>
        <w:tabs>
          <w:tab w:val="left" w:pos="851"/>
        </w:tabs>
        <w:ind w:left="0" w:firstLine="567"/>
        <w:jc w:val="both"/>
        <w:rPr>
          <w:rFonts w:ascii="Times New Roman" w:hAnsi="Times New Roman" w:cs="Times New Roman"/>
          <w:sz w:val="24"/>
          <w:szCs w:val="24"/>
        </w:rPr>
      </w:pPr>
      <w:r>
        <w:rPr>
          <w:rFonts w:ascii="Times New Roman" w:hAnsi="Times New Roman" w:cs="Times New Roman"/>
          <w:b/>
          <w:sz w:val="24"/>
          <w:szCs w:val="24"/>
          <w:u w:val="single"/>
        </w:rPr>
        <w:t>jautājums</w:t>
      </w:r>
      <w:r>
        <w:rPr>
          <w:rFonts w:ascii="Times New Roman" w:hAnsi="Times New Roman" w:cs="Times New Roman"/>
          <w:sz w:val="24"/>
          <w:szCs w:val="24"/>
        </w:rPr>
        <w:t xml:space="preserve"> Nolikuma 4.6.4.punktā norādīts “Ja iepirkuma komisija konstatē, ka pretendentu piedāvājumu novērtējums atbilstoši izraudzītajam piedāvājuma izvēles kritērijam ir vienāds, tā rīkojas saskaņā ar PIL 51. panta septītā daļā noteikto. Pretendentiem, kas iesnieguši vienādas cenas, pierādījumi par PIL 51.pantā minēto priekšrocību esamību būs jāiesniedz trīs darba dienu laikā no pieprasījuma saņemšanas.”</w:t>
      </w:r>
    </w:p>
    <w:p w:rsidR="00E834B8" w:rsidRDefault="00E834B8" w:rsidP="00E834B8">
      <w:pPr>
        <w:pStyle w:val="PlainText"/>
        <w:jc w:val="both"/>
        <w:rPr>
          <w:rFonts w:ascii="Times New Roman" w:hAnsi="Times New Roman" w:cs="Times New Roman"/>
          <w:sz w:val="24"/>
          <w:szCs w:val="24"/>
        </w:rPr>
      </w:pPr>
      <w:r>
        <w:rPr>
          <w:rFonts w:ascii="Times New Roman" w:hAnsi="Times New Roman" w:cs="Times New Roman"/>
          <w:sz w:val="24"/>
          <w:szCs w:val="24"/>
        </w:rPr>
        <w:lastRenderedPageBreak/>
        <w:t>Atbilstoši PIL 51.panta septītajai daļai “Pasūtītājs iepirkuma procedūras dokumentos norāda izšķirošo piedāvājuma izvēles kritēriju, atbilstoši kuram izvēlēsies piedāvājumu, ja pirms tam, kad pieņems lēmumu par iepirkuma līguma slēgšanas tiesību piešķiršanu, konstatēs, ka vismaz divu piedāvājumu novērtējums ir vienāds. Pasūtītājam ir tiesības par izšķirošo piedāvājuma izvēles kritēriju noteikt tādu kritēriju, kas raksturo piegādātāja atbilstību 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E834B8" w:rsidRDefault="00E834B8" w:rsidP="00E834B8">
      <w:pPr>
        <w:pStyle w:val="PlainText"/>
        <w:jc w:val="both"/>
        <w:rPr>
          <w:rFonts w:ascii="Times New Roman" w:hAnsi="Times New Roman" w:cs="Times New Roman"/>
          <w:sz w:val="24"/>
          <w:szCs w:val="24"/>
        </w:rPr>
      </w:pPr>
      <w:r>
        <w:rPr>
          <w:rFonts w:ascii="Times New Roman" w:hAnsi="Times New Roman" w:cs="Times New Roman"/>
          <w:sz w:val="24"/>
          <w:szCs w:val="24"/>
        </w:rPr>
        <w:t>Vēršam uzmanību, ka PIL 51.panta septītā daļa pati par sevi neparedz pašus izvērtēšanas kritērijus, bet gan pasūtītāja pienākumu tos norādīt iepirkuma procedūras dokumentos. Tādēļ lūdzam atbilstoši PIL 51.panta septītajai daļai iepirkuma nolikumā norādīt izšķirošo piedāvājuma izvēles kritēriju vienādu novērtējumu gadījumā.</w:t>
      </w:r>
    </w:p>
    <w:p w:rsidR="00E834B8" w:rsidRDefault="00E834B8" w:rsidP="00E834B8">
      <w:pPr>
        <w:pStyle w:val="PlainTex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Skat.Iepirkumu</w:t>
      </w:r>
      <w:proofErr w:type="spellEnd"/>
      <w:r>
        <w:rPr>
          <w:rFonts w:ascii="Times New Roman" w:hAnsi="Times New Roman" w:cs="Times New Roman"/>
          <w:sz w:val="24"/>
          <w:szCs w:val="24"/>
        </w:rPr>
        <w:t xml:space="preserve"> uzraudzības biroja skaidrojumu “Ieteikumi tehnisko specifikāciju sagatavošanā”, pieejami: </w:t>
      </w:r>
    </w:p>
    <w:p w:rsidR="00E834B8" w:rsidRDefault="00E834B8" w:rsidP="00E834B8">
      <w:pPr>
        <w:pStyle w:val="PlainText"/>
        <w:rPr>
          <w:rFonts w:ascii="Times New Roman" w:hAnsi="Times New Roman" w:cs="Times New Roman"/>
          <w:sz w:val="24"/>
          <w:szCs w:val="24"/>
        </w:rPr>
      </w:pPr>
      <w:hyperlink r:id="rId5" w:history="1">
        <w:r>
          <w:rPr>
            <w:rStyle w:val="Hyperlink"/>
            <w:rFonts w:ascii="Times New Roman" w:hAnsi="Times New Roman" w:cs="Times New Roman"/>
          </w:rPr>
          <w:t>https://www.iub.gov.lv/sites/default/files/upload/skaidrojums_PIL_17.pants_20140402_0.pdf</w:t>
        </w:r>
      </w:hyperlink>
      <w:r>
        <w:rPr>
          <w:rFonts w:ascii="Times New Roman" w:hAnsi="Times New Roman" w:cs="Times New Roman"/>
          <w:sz w:val="24"/>
          <w:szCs w:val="24"/>
        </w:rPr>
        <w:t xml:space="preserve">. </w:t>
      </w:r>
    </w:p>
    <w:p w:rsidR="00E834B8" w:rsidRDefault="00E834B8" w:rsidP="00E834B8">
      <w:pPr>
        <w:pStyle w:val="PlainText"/>
        <w:rPr>
          <w:rFonts w:ascii="Times New Roman" w:hAnsi="Times New Roman" w:cs="Times New Roman"/>
          <w:sz w:val="24"/>
          <w:szCs w:val="24"/>
        </w:rPr>
      </w:pPr>
      <w:r>
        <w:rPr>
          <w:rFonts w:ascii="Times New Roman" w:hAnsi="Times New Roman" w:cs="Times New Roman"/>
          <w:sz w:val="24"/>
          <w:szCs w:val="24"/>
        </w:rPr>
        <w:t>Lai arī Publisko iepirkumu likumā ir veikti būtiski grozījumi, tie nav mainījuši tehnisko specifikāciju satura regulējumu šajā aspektā.</w:t>
      </w:r>
    </w:p>
    <w:p w:rsidR="00E834B8" w:rsidRDefault="00E834B8" w:rsidP="00E834B8">
      <w:pPr>
        <w:pStyle w:val="PlainText"/>
        <w:rPr>
          <w:rFonts w:ascii="Times New Roman" w:hAnsi="Times New Roman" w:cs="Times New Roman"/>
          <w:sz w:val="24"/>
          <w:szCs w:val="24"/>
        </w:rPr>
      </w:pPr>
    </w:p>
    <w:p w:rsidR="00E834B8" w:rsidRDefault="00E834B8" w:rsidP="00E834B8">
      <w:pPr>
        <w:pStyle w:val="PlainText"/>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Atbilde uz 3.jautājumu</w:t>
      </w:r>
    </w:p>
    <w:p w:rsidR="00E834B8" w:rsidRDefault="00E834B8" w:rsidP="00E834B8">
      <w:pPr>
        <w:outlineLvl w:val="3"/>
        <w:rPr>
          <w:b/>
          <w:u w:val="single"/>
        </w:rPr>
      </w:pPr>
    </w:p>
    <w:p w:rsidR="00E834B8" w:rsidRDefault="00E834B8" w:rsidP="00E834B8">
      <w:pPr>
        <w:ind w:firstLine="567"/>
        <w:outlineLvl w:val="3"/>
      </w:pPr>
      <w:r>
        <w:t xml:space="preserve">Nolikuma 4.6.4. punktā ir noteikts, ka gadījumā, ja tiks konstatēti vienādi cenu piedāvājumi, pasūtītājs rīkosies atbilstoši Publisko iepirkumu likuma (turpmāk – PIL) 51.panta septītajā daļā noteiktajam, t.i., lūgs pretendentiem iesniegt dokumentus, kas raksturo piegādātāja atbilstību 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w:t>
      </w:r>
    </w:p>
    <w:p w:rsidR="00E834B8" w:rsidRDefault="00E834B8" w:rsidP="00E834B8">
      <w:pPr>
        <w:ind w:firstLine="567"/>
        <w:outlineLvl w:val="3"/>
      </w:pPr>
      <w:r>
        <w:t xml:space="preserve">Atbilstoši Nolikuma 4.6.5. punktam – ja iepirkuma komisija nekonstatēs PIL 51.panta septītajā daļā noteikto, iepirkuma komisija lems par izlozes piemērošanu, par kuras laiku un kārtību tiks informēti pretendenti, kas iesnieguši piedāvājumus ar vienādām zemākajām cenām. </w:t>
      </w:r>
    </w:p>
    <w:p w:rsidR="0062021F" w:rsidRPr="00E33D7A" w:rsidRDefault="0062021F" w:rsidP="00FF76A9"/>
    <w:sectPr w:rsidR="0062021F" w:rsidRPr="00E33D7A" w:rsidSect="002C0570">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0352D"/>
    <w:multiLevelType w:val="hybridMultilevel"/>
    <w:tmpl w:val="2FA42808"/>
    <w:lvl w:ilvl="0" w:tplc="6966FF8C">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B7131B"/>
    <w:multiLevelType w:val="hybridMultilevel"/>
    <w:tmpl w:val="F906E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213C68"/>
    <w:multiLevelType w:val="hybridMultilevel"/>
    <w:tmpl w:val="03F40C02"/>
    <w:lvl w:ilvl="0" w:tplc="ED1CE6B4">
      <w:start w:val="2"/>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E1312B0"/>
    <w:multiLevelType w:val="hybridMultilevel"/>
    <w:tmpl w:val="899A525C"/>
    <w:lvl w:ilvl="0" w:tplc="4E44E9B0">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D4"/>
    <w:rsid w:val="0006762B"/>
    <w:rsid w:val="00167C4C"/>
    <w:rsid w:val="001A216D"/>
    <w:rsid w:val="002917F2"/>
    <w:rsid w:val="002C0570"/>
    <w:rsid w:val="002C1AC5"/>
    <w:rsid w:val="002C76A2"/>
    <w:rsid w:val="003A6CD5"/>
    <w:rsid w:val="0040269B"/>
    <w:rsid w:val="004D487D"/>
    <w:rsid w:val="005F27A3"/>
    <w:rsid w:val="0062021F"/>
    <w:rsid w:val="00656DC0"/>
    <w:rsid w:val="006F37A7"/>
    <w:rsid w:val="006F44C2"/>
    <w:rsid w:val="00753D8C"/>
    <w:rsid w:val="00817879"/>
    <w:rsid w:val="008634B6"/>
    <w:rsid w:val="009451D4"/>
    <w:rsid w:val="00B212EA"/>
    <w:rsid w:val="00CA6866"/>
    <w:rsid w:val="00CC795D"/>
    <w:rsid w:val="00CE71D4"/>
    <w:rsid w:val="00E33D7A"/>
    <w:rsid w:val="00E5359D"/>
    <w:rsid w:val="00E834B8"/>
    <w:rsid w:val="00F151DA"/>
    <w:rsid w:val="00FF76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91909-DB31-4E1D-A6D1-E2A286AD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1D4"/>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F27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F27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D487D"/>
    <w:pPr>
      <w:ind w:left="720"/>
      <w:contextualSpacing/>
    </w:pPr>
  </w:style>
  <w:style w:type="character" w:styleId="Hyperlink">
    <w:name w:val="Hyperlink"/>
    <w:basedOn w:val="DefaultParagraphFont"/>
    <w:semiHidden/>
    <w:unhideWhenUsed/>
    <w:rsid w:val="00E834B8"/>
    <w:rPr>
      <w:color w:val="0563C1" w:themeColor="hyperlink"/>
      <w:u w:val="single"/>
    </w:rPr>
  </w:style>
  <w:style w:type="paragraph" w:styleId="PlainText">
    <w:name w:val="Plain Text"/>
    <w:basedOn w:val="Normal"/>
    <w:link w:val="PlainTextChar"/>
    <w:uiPriority w:val="99"/>
    <w:semiHidden/>
    <w:unhideWhenUsed/>
    <w:rsid w:val="00E834B8"/>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834B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8105">
      <w:bodyDiv w:val="1"/>
      <w:marLeft w:val="0"/>
      <w:marRight w:val="0"/>
      <w:marTop w:val="0"/>
      <w:marBottom w:val="0"/>
      <w:divBdr>
        <w:top w:val="none" w:sz="0" w:space="0" w:color="auto"/>
        <w:left w:val="none" w:sz="0" w:space="0" w:color="auto"/>
        <w:bottom w:val="none" w:sz="0" w:space="0" w:color="auto"/>
        <w:right w:val="none" w:sz="0" w:space="0" w:color="auto"/>
      </w:divBdr>
    </w:div>
    <w:div w:id="148209046">
      <w:bodyDiv w:val="1"/>
      <w:marLeft w:val="0"/>
      <w:marRight w:val="0"/>
      <w:marTop w:val="0"/>
      <w:marBottom w:val="0"/>
      <w:divBdr>
        <w:top w:val="none" w:sz="0" w:space="0" w:color="auto"/>
        <w:left w:val="none" w:sz="0" w:space="0" w:color="auto"/>
        <w:bottom w:val="none" w:sz="0" w:space="0" w:color="auto"/>
        <w:right w:val="none" w:sz="0" w:space="0" w:color="auto"/>
      </w:divBdr>
    </w:div>
    <w:div w:id="684596020">
      <w:bodyDiv w:val="1"/>
      <w:marLeft w:val="0"/>
      <w:marRight w:val="0"/>
      <w:marTop w:val="0"/>
      <w:marBottom w:val="0"/>
      <w:divBdr>
        <w:top w:val="none" w:sz="0" w:space="0" w:color="auto"/>
        <w:left w:val="none" w:sz="0" w:space="0" w:color="auto"/>
        <w:bottom w:val="none" w:sz="0" w:space="0" w:color="auto"/>
        <w:right w:val="none" w:sz="0" w:space="0" w:color="auto"/>
      </w:divBdr>
    </w:div>
    <w:div w:id="886726688">
      <w:bodyDiv w:val="1"/>
      <w:marLeft w:val="0"/>
      <w:marRight w:val="0"/>
      <w:marTop w:val="0"/>
      <w:marBottom w:val="0"/>
      <w:divBdr>
        <w:top w:val="none" w:sz="0" w:space="0" w:color="auto"/>
        <w:left w:val="none" w:sz="0" w:space="0" w:color="auto"/>
        <w:bottom w:val="none" w:sz="0" w:space="0" w:color="auto"/>
        <w:right w:val="none" w:sz="0" w:space="0" w:color="auto"/>
      </w:divBdr>
    </w:div>
    <w:div w:id="1176112207">
      <w:bodyDiv w:val="1"/>
      <w:marLeft w:val="0"/>
      <w:marRight w:val="0"/>
      <w:marTop w:val="0"/>
      <w:marBottom w:val="0"/>
      <w:divBdr>
        <w:top w:val="none" w:sz="0" w:space="0" w:color="auto"/>
        <w:left w:val="none" w:sz="0" w:space="0" w:color="auto"/>
        <w:bottom w:val="none" w:sz="0" w:space="0" w:color="auto"/>
        <w:right w:val="none" w:sz="0" w:space="0" w:color="auto"/>
      </w:divBdr>
    </w:div>
    <w:div w:id="1325278365">
      <w:bodyDiv w:val="1"/>
      <w:marLeft w:val="0"/>
      <w:marRight w:val="0"/>
      <w:marTop w:val="0"/>
      <w:marBottom w:val="0"/>
      <w:divBdr>
        <w:top w:val="none" w:sz="0" w:space="0" w:color="auto"/>
        <w:left w:val="none" w:sz="0" w:space="0" w:color="auto"/>
        <w:bottom w:val="none" w:sz="0" w:space="0" w:color="auto"/>
        <w:right w:val="none" w:sz="0" w:space="0" w:color="auto"/>
      </w:divBdr>
    </w:div>
    <w:div w:id="1430347064">
      <w:bodyDiv w:val="1"/>
      <w:marLeft w:val="0"/>
      <w:marRight w:val="0"/>
      <w:marTop w:val="0"/>
      <w:marBottom w:val="0"/>
      <w:divBdr>
        <w:top w:val="none" w:sz="0" w:space="0" w:color="auto"/>
        <w:left w:val="none" w:sz="0" w:space="0" w:color="auto"/>
        <w:bottom w:val="none" w:sz="0" w:space="0" w:color="auto"/>
        <w:right w:val="none" w:sz="0" w:space="0" w:color="auto"/>
      </w:divBdr>
    </w:div>
    <w:div w:id="1438253781">
      <w:bodyDiv w:val="1"/>
      <w:marLeft w:val="0"/>
      <w:marRight w:val="0"/>
      <w:marTop w:val="0"/>
      <w:marBottom w:val="0"/>
      <w:divBdr>
        <w:top w:val="none" w:sz="0" w:space="0" w:color="auto"/>
        <w:left w:val="none" w:sz="0" w:space="0" w:color="auto"/>
        <w:bottom w:val="none" w:sz="0" w:space="0" w:color="auto"/>
        <w:right w:val="none" w:sz="0" w:space="0" w:color="auto"/>
      </w:divBdr>
    </w:div>
    <w:div w:id="1648129585">
      <w:bodyDiv w:val="1"/>
      <w:marLeft w:val="0"/>
      <w:marRight w:val="0"/>
      <w:marTop w:val="0"/>
      <w:marBottom w:val="0"/>
      <w:divBdr>
        <w:top w:val="none" w:sz="0" w:space="0" w:color="auto"/>
        <w:left w:val="none" w:sz="0" w:space="0" w:color="auto"/>
        <w:bottom w:val="none" w:sz="0" w:space="0" w:color="auto"/>
        <w:right w:val="none" w:sz="0" w:space="0" w:color="auto"/>
      </w:divBdr>
    </w:div>
    <w:div w:id="2089184623">
      <w:bodyDiv w:val="1"/>
      <w:marLeft w:val="0"/>
      <w:marRight w:val="0"/>
      <w:marTop w:val="0"/>
      <w:marBottom w:val="0"/>
      <w:divBdr>
        <w:top w:val="none" w:sz="0" w:space="0" w:color="auto"/>
        <w:left w:val="none" w:sz="0" w:space="0" w:color="auto"/>
        <w:bottom w:val="none" w:sz="0" w:space="0" w:color="auto"/>
        <w:right w:val="none" w:sz="0" w:space="0" w:color="auto"/>
      </w:divBdr>
    </w:div>
    <w:div w:id="20912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sites/default/files/upload/skaidrojums_PIL_17.pants_20140402_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3838</Words>
  <Characters>2188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Zanda Brante</cp:lastModifiedBy>
  <cp:revision>3</cp:revision>
  <dcterms:created xsi:type="dcterms:W3CDTF">2018-02-13T06:36:00Z</dcterms:created>
  <dcterms:modified xsi:type="dcterms:W3CDTF">2018-02-13T06:39:00Z</dcterms:modified>
</cp:coreProperties>
</file>