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977804">
      <w:pPr>
        <w:ind w:right="-649"/>
        <w:jc w:val="center"/>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977804">
        <w:rPr>
          <w:b/>
          <w:bCs/>
        </w:rPr>
        <w:t>Iepirkuma komisijas 201</w:t>
      </w:r>
      <w:r w:rsidR="00230780">
        <w:rPr>
          <w:b/>
          <w:bCs/>
        </w:rPr>
        <w:t>7</w:t>
      </w:r>
      <w:r w:rsidRPr="00977804">
        <w:rPr>
          <w:b/>
          <w:bCs/>
        </w:rPr>
        <w:t xml:space="preserve">.gada </w:t>
      </w:r>
      <w:r w:rsidR="009C30A3">
        <w:rPr>
          <w:b/>
          <w:bCs/>
        </w:rPr>
        <w:t>21</w:t>
      </w:r>
      <w:bookmarkStart w:id="0" w:name="_GoBack"/>
      <w:bookmarkEnd w:id="0"/>
      <w:r w:rsidR="00F40C9D">
        <w:rPr>
          <w:b/>
          <w:bCs/>
        </w:rPr>
        <w:t>.novembra</w:t>
      </w:r>
      <w:r w:rsidR="00066546">
        <w:rPr>
          <w:b/>
          <w:bCs/>
        </w:rPr>
        <w:t xml:space="preserve"> komisijas sēdē sniegtā</w:t>
      </w:r>
      <w:r w:rsidR="0034646B">
        <w:rPr>
          <w:b/>
          <w:bCs/>
        </w:rPr>
        <w:t>s</w:t>
      </w:r>
      <w:r w:rsidRPr="00977804">
        <w:rPr>
          <w:b/>
          <w:bCs/>
        </w:rPr>
        <w:t xml:space="preserve"> </w:t>
      </w:r>
    </w:p>
    <w:p w:rsidR="00977804" w:rsidRPr="00977804" w:rsidRDefault="00066546" w:rsidP="00977804">
      <w:pPr>
        <w:ind w:right="-649"/>
        <w:jc w:val="center"/>
        <w:rPr>
          <w:b/>
          <w:bCs/>
        </w:rPr>
      </w:pPr>
      <w:r>
        <w:rPr>
          <w:b/>
          <w:bCs/>
        </w:rPr>
        <w:t>atbilde</w:t>
      </w:r>
      <w:r w:rsidR="0034646B">
        <w:rPr>
          <w:b/>
          <w:bCs/>
        </w:rPr>
        <w:t>s</w:t>
      </w:r>
      <w:r w:rsidR="00977804" w:rsidRPr="00977804">
        <w:rPr>
          <w:b/>
          <w:bCs/>
        </w:rPr>
        <w:t xml:space="preserve"> uz uzdot</w:t>
      </w:r>
      <w:r w:rsidR="0034646B">
        <w:rPr>
          <w:b/>
          <w:bCs/>
        </w:rPr>
        <w:t>ajiem</w:t>
      </w:r>
      <w:r w:rsidR="00977804" w:rsidRPr="00977804">
        <w:rPr>
          <w:b/>
          <w:bCs/>
        </w:rPr>
        <w:t xml:space="preserve"> jautājum</w:t>
      </w:r>
      <w:r w:rsidR="0034646B">
        <w:rPr>
          <w:b/>
          <w:bCs/>
        </w:rPr>
        <w:t>iem</w:t>
      </w:r>
      <w:r w:rsidR="00977804" w:rsidRPr="00977804">
        <w:rPr>
          <w:b/>
          <w:bCs/>
        </w:rPr>
        <w:t xml:space="preserve"> par </w:t>
      </w:r>
    </w:p>
    <w:p w:rsidR="00431F2F" w:rsidRPr="008E02CD" w:rsidRDefault="00977804" w:rsidP="008E02CD">
      <w:pPr>
        <w:jc w:val="center"/>
        <w:rPr>
          <w:rFonts w:eastAsia="Calibri"/>
          <w:lang w:eastAsia="en-US"/>
        </w:rPr>
      </w:pPr>
      <w:r w:rsidRPr="00977804">
        <w:rPr>
          <w:b/>
          <w:bCs/>
        </w:rPr>
        <w:t>atklāta konkursa “</w:t>
      </w:r>
      <w:r w:rsidR="00F40C9D">
        <w:rPr>
          <w:b/>
          <w:bCs/>
        </w:rPr>
        <w:t>Fiziskās un tehniskās apsardzes pakalpojumi</w:t>
      </w:r>
      <w:r w:rsidRPr="00977804">
        <w:rPr>
          <w:b/>
          <w:bCs/>
        </w:rPr>
        <w:t xml:space="preserve">”, </w:t>
      </w:r>
    </w:p>
    <w:p w:rsidR="00E80FBC" w:rsidRPr="00977804" w:rsidRDefault="00977804" w:rsidP="00431F2F">
      <w:pPr>
        <w:ind w:right="-649"/>
        <w:jc w:val="center"/>
        <w:rPr>
          <w:b/>
          <w:bCs/>
        </w:rPr>
      </w:pPr>
      <w:r w:rsidRPr="00977804">
        <w:rPr>
          <w:b/>
          <w:bCs/>
        </w:rPr>
        <w:t xml:space="preserve">ID </w:t>
      </w:r>
      <w:proofErr w:type="spellStart"/>
      <w:r w:rsidRPr="00977804">
        <w:rPr>
          <w:b/>
          <w:bCs/>
        </w:rPr>
        <w:t>Nr.PSKUS</w:t>
      </w:r>
      <w:proofErr w:type="spellEnd"/>
      <w:r w:rsidRPr="00977804">
        <w:rPr>
          <w:b/>
          <w:bCs/>
        </w:rPr>
        <w:t xml:space="preserve"> 201</w:t>
      </w:r>
      <w:r w:rsidR="00230780">
        <w:rPr>
          <w:b/>
          <w:bCs/>
        </w:rPr>
        <w:t>7</w:t>
      </w:r>
      <w:r w:rsidRPr="00977804">
        <w:rPr>
          <w:b/>
          <w:bCs/>
        </w:rPr>
        <w:t>/</w:t>
      </w:r>
      <w:r w:rsidR="00F40C9D">
        <w:rPr>
          <w:b/>
          <w:bCs/>
        </w:rPr>
        <w:t>143</w:t>
      </w:r>
      <w:r w:rsidR="00431F2F">
        <w:rPr>
          <w:b/>
          <w:bCs/>
        </w:rPr>
        <w:t xml:space="preserve">, </w:t>
      </w:r>
      <w:r w:rsidRPr="00977804">
        <w:rPr>
          <w:b/>
          <w:bCs/>
        </w:rPr>
        <w:t xml:space="preserve">nolikumu </w:t>
      </w:r>
    </w:p>
    <w:p w:rsidR="00066546" w:rsidRDefault="00066546" w:rsidP="005F3EE2">
      <w:pPr>
        <w:ind w:right="-649"/>
        <w:jc w:val="both"/>
        <w:rPr>
          <w:bCs/>
          <w:sz w:val="23"/>
          <w:szCs w:val="23"/>
        </w:rPr>
      </w:pPr>
    </w:p>
    <w:p w:rsidR="00230780" w:rsidRDefault="00230780" w:rsidP="00D869B0">
      <w:pPr>
        <w:jc w:val="both"/>
        <w:rPr>
          <w:b/>
          <w:snapToGrid w:val="0"/>
        </w:rPr>
      </w:pPr>
    </w:p>
    <w:p w:rsidR="00A555AD" w:rsidRDefault="00A555AD" w:rsidP="00A555AD">
      <w:pPr>
        <w:jc w:val="both"/>
        <w:rPr>
          <w:b/>
          <w:snapToGrid w:val="0"/>
        </w:rPr>
      </w:pPr>
    </w:p>
    <w:p w:rsidR="0034646B" w:rsidRDefault="0034646B" w:rsidP="0034646B">
      <w:pPr>
        <w:jc w:val="both"/>
        <w:rPr>
          <w:b/>
          <w:snapToGrid w:val="0"/>
        </w:rPr>
      </w:pPr>
      <w:r>
        <w:rPr>
          <w:b/>
          <w:snapToGrid w:val="0"/>
        </w:rPr>
        <w:t>1.j</w:t>
      </w:r>
      <w:r w:rsidRPr="008E28FD">
        <w:rPr>
          <w:b/>
          <w:snapToGrid w:val="0"/>
        </w:rPr>
        <w:t>autājums</w:t>
      </w:r>
      <w:r>
        <w:rPr>
          <w:b/>
          <w:snapToGrid w:val="0"/>
        </w:rPr>
        <w:t>:</w:t>
      </w:r>
    </w:p>
    <w:p w:rsidR="0034646B" w:rsidRDefault="0034646B" w:rsidP="0034646B">
      <w:pPr>
        <w:jc w:val="both"/>
      </w:pPr>
      <w:r w:rsidRPr="009A333E">
        <w:t>Līguma projekts punkts 3.1.10 - lūgums precizēt par izpildes dokumentāciju - kā pienākums ir izstrādāt šo doku</w:t>
      </w:r>
      <w:r>
        <w:t>me</w:t>
      </w:r>
      <w:r w:rsidRPr="009A333E">
        <w:t>ntāciju</w:t>
      </w:r>
      <w:r>
        <w:t xml:space="preserve"> - </w:t>
      </w:r>
      <w:r w:rsidRPr="009A333E">
        <w:t>pasūtītāja vai izpildītāja</w:t>
      </w:r>
      <w:r>
        <w:t>?</w:t>
      </w:r>
    </w:p>
    <w:p w:rsidR="0034646B" w:rsidRDefault="0034646B" w:rsidP="0034646B">
      <w:pPr>
        <w:spacing w:before="120"/>
        <w:jc w:val="both"/>
        <w:rPr>
          <w:snapToGrid w:val="0"/>
        </w:rPr>
      </w:pPr>
    </w:p>
    <w:p w:rsidR="0034646B" w:rsidRPr="00BE4FB9" w:rsidRDefault="0034646B" w:rsidP="0034646B">
      <w:pPr>
        <w:jc w:val="both"/>
        <w:rPr>
          <w:b/>
          <w:snapToGrid w:val="0"/>
        </w:rPr>
      </w:pPr>
      <w:r w:rsidRPr="00BE4FB9">
        <w:rPr>
          <w:b/>
          <w:snapToGrid w:val="0"/>
        </w:rPr>
        <w:t>Atbilde:</w:t>
      </w:r>
    </w:p>
    <w:p w:rsidR="0034646B" w:rsidRDefault="0034646B" w:rsidP="0034646B">
      <w:pPr>
        <w:ind w:right="-153"/>
        <w:jc w:val="both"/>
      </w:pPr>
      <w:r>
        <w:t>Līguma</w:t>
      </w:r>
      <w:r w:rsidRPr="009A333E">
        <w:t xml:space="preserve"> </w:t>
      </w:r>
      <w:r>
        <w:t>3.1.10.</w:t>
      </w:r>
      <w:r w:rsidRPr="009A333E">
        <w:t>punkt</w:t>
      </w:r>
      <w:r>
        <w:t>s</w:t>
      </w:r>
      <w:r w:rsidRPr="009A333E">
        <w:t xml:space="preserve"> </w:t>
      </w:r>
      <w:r>
        <w:t>paredz, ka</w:t>
      </w:r>
      <w:r w:rsidRPr="009A333E">
        <w:t>, ja Izpildītāj</w:t>
      </w:r>
      <w:r>
        <w:t>a</w:t>
      </w:r>
      <w:r w:rsidRPr="009A333E">
        <w:t xml:space="preserve"> līguma izpildes laikā tiek uzstādītas kādas sistēmas</w:t>
      </w:r>
      <w:r>
        <w:t xml:space="preserve"> </w:t>
      </w:r>
      <w:r w:rsidRPr="009A333E">
        <w:t>vai nodotas esošo sistēmu paroles, kodi,</w:t>
      </w:r>
      <w:r>
        <w:t xml:space="preserve"> </w:t>
      </w:r>
      <w:r w:rsidRPr="009A333E">
        <w:t>Izpildītājam</w:t>
      </w:r>
      <w:r>
        <w:t>, pēc līguma beigām,</w:t>
      </w:r>
      <w:r w:rsidRPr="009A333E">
        <w:t xml:space="preserve"> ir pienākums šīs paroles nodot Pasūtītājam pilnā apmērā, vai </w:t>
      </w:r>
      <w:r>
        <w:t>nodot tās</w:t>
      </w:r>
      <w:r w:rsidRPr="009A333E">
        <w:t xml:space="preserve"> caur Pasūtītāj</w:t>
      </w:r>
      <w:r>
        <w:t>u</w:t>
      </w:r>
      <w:r w:rsidRPr="009A333E">
        <w:t xml:space="preserve"> sistēmu apkalpojošajam uzņēmumam. Šos dokumentus pienākums ir izstrādāt sistēmas uzstādītājam, ja tas nav izdarīts, tad Pasūtītāja nolīgtam uzņēmumam</w:t>
      </w:r>
      <w:r>
        <w:t>.</w:t>
      </w:r>
    </w:p>
    <w:p w:rsidR="0034646B" w:rsidRDefault="0034646B" w:rsidP="0034646B">
      <w:pPr>
        <w:ind w:right="-153"/>
        <w:jc w:val="both"/>
      </w:pPr>
    </w:p>
    <w:p w:rsidR="0034646B" w:rsidRPr="00B3300D" w:rsidRDefault="0034646B" w:rsidP="0034646B">
      <w:pPr>
        <w:ind w:right="-153"/>
        <w:jc w:val="both"/>
        <w:rPr>
          <w:b/>
        </w:rPr>
      </w:pPr>
      <w:r w:rsidRPr="00B3300D">
        <w:rPr>
          <w:b/>
        </w:rPr>
        <w:t>2.jautājums:</w:t>
      </w:r>
    </w:p>
    <w:p w:rsidR="0034646B" w:rsidRDefault="0034646B" w:rsidP="0034646B">
      <w:pPr>
        <w:ind w:right="-153"/>
        <w:jc w:val="both"/>
      </w:pPr>
      <w:r w:rsidRPr="00B3300D">
        <w:t>Līguma projekt</w:t>
      </w:r>
      <w:r>
        <w:t>a</w:t>
      </w:r>
      <w:r w:rsidRPr="00B3300D">
        <w:t xml:space="preserve"> punkts 8.4.2. un 8.4.3. - vai būs iesp</w:t>
      </w:r>
      <w:r>
        <w:t>ē</w:t>
      </w:r>
      <w:r w:rsidRPr="00B3300D">
        <w:t>jams mainīt termiņa laiku uz 30 kalendārām dienām iepriekš</w:t>
      </w:r>
      <w:r>
        <w:t>?</w:t>
      </w:r>
    </w:p>
    <w:p w:rsidR="0034646B" w:rsidRDefault="0034646B" w:rsidP="0034646B">
      <w:pPr>
        <w:ind w:right="-153"/>
        <w:jc w:val="both"/>
      </w:pPr>
    </w:p>
    <w:p w:rsidR="0034646B" w:rsidRPr="00B3300D" w:rsidRDefault="0034646B" w:rsidP="0034646B">
      <w:pPr>
        <w:ind w:right="-153"/>
        <w:jc w:val="both"/>
        <w:rPr>
          <w:b/>
        </w:rPr>
      </w:pPr>
      <w:r w:rsidRPr="00B3300D">
        <w:rPr>
          <w:b/>
        </w:rPr>
        <w:t>Atbilde:</w:t>
      </w:r>
    </w:p>
    <w:p w:rsidR="0034646B" w:rsidRDefault="0034646B" w:rsidP="0034646B">
      <w:pPr>
        <w:ind w:right="-153"/>
        <w:jc w:val="both"/>
      </w:pPr>
      <w:r w:rsidRPr="00B3300D">
        <w:t>Nolikumā noteiktais termiņš netiks mainīts</w:t>
      </w:r>
      <w:r>
        <w:t>.</w:t>
      </w:r>
    </w:p>
    <w:p w:rsidR="0034646B" w:rsidRDefault="0034646B" w:rsidP="0034646B">
      <w:pPr>
        <w:ind w:right="-153"/>
        <w:jc w:val="both"/>
      </w:pPr>
    </w:p>
    <w:p w:rsidR="0034646B" w:rsidRPr="00B3300D" w:rsidRDefault="0034646B" w:rsidP="0034646B">
      <w:pPr>
        <w:ind w:right="-153"/>
        <w:jc w:val="both"/>
        <w:rPr>
          <w:b/>
        </w:rPr>
      </w:pPr>
      <w:r w:rsidRPr="00B3300D">
        <w:rPr>
          <w:b/>
        </w:rPr>
        <w:t>3.jautājums:</w:t>
      </w:r>
    </w:p>
    <w:p w:rsidR="0034646B" w:rsidRDefault="0034646B" w:rsidP="0034646B">
      <w:pPr>
        <w:ind w:right="-153"/>
        <w:jc w:val="both"/>
      </w:pPr>
      <w:r>
        <w:t>Finanšu piedāvājums, pielikums Nr3 - aile "Cena par pakalpojumu mēnesī" - šeit cena arī ir jānorāda bez nakts h, svētku dienām un aizvietošanas?</w:t>
      </w:r>
    </w:p>
    <w:p w:rsidR="0034646B" w:rsidRDefault="0034646B" w:rsidP="0034646B">
      <w:pPr>
        <w:ind w:right="-153"/>
        <w:jc w:val="both"/>
      </w:pPr>
    </w:p>
    <w:p w:rsidR="0034646B" w:rsidRPr="00B3300D" w:rsidRDefault="0034646B" w:rsidP="0034646B">
      <w:pPr>
        <w:ind w:right="-153"/>
        <w:jc w:val="both"/>
        <w:rPr>
          <w:b/>
        </w:rPr>
      </w:pPr>
      <w:r w:rsidRPr="00B3300D">
        <w:rPr>
          <w:b/>
        </w:rPr>
        <w:t>Atbilde:</w:t>
      </w:r>
    </w:p>
    <w:p w:rsidR="0034646B" w:rsidRDefault="0034646B" w:rsidP="0034646B">
      <w:pPr>
        <w:ind w:right="-153"/>
        <w:jc w:val="both"/>
        <w:rPr>
          <w:rFonts w:eastAsia="Calibri"/>
          <w:bCs/>
          <w:lang w:eastAsia="en-US"/>
        </w:rPr>
      </w:pPr>
      <w:r w:rsidRPr="00B3300D">
        <w:t>Cena par pakalpojumu mēnesī jānorāda ar visām piemaksām</w:t>
      </w:r>
      <w:r>
        <w:t xml:space="preserve">. Saskaņā ar atklāta konkursa nolikuma 3.7.3.punktu, </w:t>
      </w:r>
      <w:r w:rsidRPr="009D6039">
        <w:rPr>
          <w:rFonts w:eastAsia="Calibri"/>
          <w:bCs/>
          <w:lang w:eastAsia="en-US"/>
        </w:rPr>
        <w:t>Pretendents finanšu piedāvājumā norādītajās izmaksās ietver visas ar pakalpojuma izpildi saistītās izmaksas, visus nodokļus (izņemot PVN), nodevas un maksājumus, kas ir saistoši pretendentam, lai nodrošinātu kvalitatīvu līguma izpildi, kā arī riski līguma izpildes laikā</w:t>
      </w:r>
      <w:r>
        <w:rPr>
          <w:rFonts w:eastAsia="Calibri"/>
          <w:bCs/>
          <w:lang w:eastAsia="en-US"/>
        </w:rPr>
        <w:t>.</w:t>
      </w:r>
    </w:p>
    <w:p w:rsidR="0034646B" w:rsidRDefault="0034646B" w:rsidP="0034646B">
      <w:pPr>
        <w:ind w:right="-153"/>
        <w:jc w:val="both"/>
      </w:pPr>
    </w:p>
    <w:p w:rsidR="0034646B" w:rsidRPr="009D6039" w:rsidRDefault="0034646B" w:rsidP="0034646B">
      <w:pPr>
        <w:ind w:right="-153"/>
        <w:jc w:val="both"/>
        <w:rPr>
          <w:b/>
        </w:rPr>
      </w:pPr>
      <w:r w:rsidRPr="009D6039">
        <w:rPr>
          <w:b/>
        </w:rPr>
        <w:t>4.jautājums:</w:t>
      </w:r>
    </w:p>
    <w:p w:rsidR="0034646B" w:rsidRDefault="0034646B" w:rsidP="0034646B">
      <w:pPr>
        <w:ind w:right="-153"/>
        <w:jc w:val="both"/>
      </w:pPr>
      <w:r w:rsidRPr="009D6039">
        <w:t>Nolikums punkts 3.5.13 - vai neder apdrošināšanas polisē norādīts pašrisks 1400 EUR</w:t>
      </w:r>
      <w:r>
        <w:t>?</w:t>
      </w:r>
    </w:p>
    <w:p w:rsidR="0034646B" w:rsidRDefault="0034646B" w:rsidP="0034646B">
      <w:pPr>
        <w:ind w:right="-153"/>
        <w:jc w:val="both"/>
      </w:pPr>
    </w:p>
    <w:p w:rsidR="0034646B" w:rsidRPr="009D6039" w:rsidRDefault="0034646B" w:rsidP="0034646B">
      <w:pPr>
        <w:ind w:right="-153"/>
        <w:jc w:val="both"/>
        <w:rPr>
          <w:b/>
        </w:rPr>
      </w:pPr>
      <w:r w:rsidRPr="009D6039">
        <w:rPr>
          <w:b/>
        </w:rPr>
        <w:t>Atbilde:</w:t>
      </w:r>
    </w:p>
    <w:p w:rsidR="0034646B" w:rsidRDefault="0034646B" w:rsidP="0034646B">
      <w:pPr>
        <w:ind w:right="-153"/>
        <w:jc w:val="both"/>
      </w:pPr>
      <w:r w:rsidRPr="009D6039">
        <w:t>Pašrisks netiks mainīts</w:t>
      </w:r>
      <w:r>
        <w:t>.</w:t>
      </w:r>
    </w:p>
    <w:p w:rsidR="0034646B" w:rsidRDefault="0034646B" w:rsidP="0034646B">
      <w:pPr>
        <w:ind w:right="-153"/>
        <w:jc w:val="both"/>
      </w:pPr>
    </w:p>
    <w:p w:rsidR="0034646B" w:rsidRPr="009D6039" w:rsidRDefault="0034646B" w:rsidP="0034646B">
      <w:pPr>
        <w:ind w:right="-153"/>
        <w:jc w:val="both"/>
        <w:rPr>
          <w:b/>
        </w:rPr>
      </w:pPr>
      <w:r w:rsidRPr="009D6039">
        <w:rPr>
          <w:b/>
        </w:rPr>
        <w:t>5.jautājums:</w:t>
      </w:r>
    </w:p>
    <w:p w:rsidR="0034646B" w:rsidRDefault="0034646B" w:rsidP="0034646B">
      <w:pPr>
        <w:ind w:right="-153"/>
        <w:jc w:val="both"/>
      </w:pPr>
      <w:r w:rsidRPr="009D6039">
        <w:t>Vēlamies saņemt informāciju  par vidējo trauksmju skaitu mēnesī  pēc PS</w:t>
      </w:r>
      <w:r>
        <w:t>R</w:t>
      </w:r>
      <w:r w:rsidRPr="009D6039">
        <w:t>KUS rīcībā esošajiem datiem</w:t>
      </w:r>
      <w:r>
        <w:t>.</w:t>
      </w:r>
    </w:p>
    <w:p w:rsidR="0034646B" w:rsidRDefault="0034646B" w:rsidP="0034646B">
      <w:pPr>
        <w:ind w:right="-153"/>
        <w:jc w:val="both"/>
      </w:pPr>
    </w:p>
    <w:p w:rsidR="0034646B" w:rsidRPr="009D6039" w:rsidRDefault="0034646B" w:rsidP="0034646B">
      <w:pPr>
        <w:ind w:right="-153"/>
        <w:jc w:val="both"/>
        <w:rPr>
          <w:b/>
        </w:rPr>
      </w:pPr>
      <w:r w:rsidRPr="009D6039">
        <w:rPr>
          <w:b/>
        </w:rPr>
        <w:t>Atbilde:</w:t>
      </w:r>
    </w:p>
    <w:p w:rsidR="0034646B" w:rsidRDefault="0034646B" w:rsidP="0034646B">
      <w:pPr>
        <w:ind w:right="-153"/>
        <w:jc w:val="both"/>
      </w:pPr>
      <w:r w:rsidRPr="009D6039">
        <w:t>PSKUS rīcība nav šādu datu</w:t>
      </w:r>
      <w:r>
        <w:t>. Atbilde</w:t>
      </w:r>
      <w:r w:rsidRPr="009D6039">
        <w:t xml:space="preserve"> uz šādu jautājumu tika sniegta ieinteresēto pretendentu objekta apsekošan</w:t>
      </w:r>
      <w:r>
        <w:t>as laikā – sniegtās atbildes ir publicētas pasūtītāja mājas lapā sadaļā “Iepirkumi”, pie konkrētā iepirkuma.</w:t>
      </w:r>
    </w:p>
    <w:p w:rsidR="0034646B" w:rsidRDefault="0034646B" w:rsidP="0034646B">
      <w:pPr>
        <w:ind w:right="-153"/>
        <w:jc w:val="both"/>
      </w:pPr>
    </w:p>
    <w:p w:rsidR="0034646B" w:rsidRDefault="0034646B" w:rsidP="0034646B">
      <w:pPr>
        <w:ind w:right="-153"/>
        <w:jc w:val="both"/>
      </w:pPr>
    </w:p>
    <w:p w:rsidR="0034646B" w:rsidRPr="00D577A7" w:rsidRDefault="0034646B" w:rsidP="0034646B">
      <w:pPr>
        <w:ind w:right="-153"/>
        <w:jc w:val="both"/>
        <w:rPr>
          <w:b/>
        </w:rPr>
      </w:pPr>
      <w:r w:rsidRPr="00D577A7">
        <w:rPr>
          <w:b/>
        </w:rPr>
        <w:lastRenderedPageBreak/>
        <w:t>6.jautājums:</w:t>
      </w:r>
    </w:p>
    <w:p w:rsidR="0034646B" w:rsidRDefault="0034646B" w:rsidP="0034646B">
      <w:pPr>
        <w:ind w:right="-153"/>
        <w:jc w:val="both"/>
      </w:pPr>
      <w:r w:rsidRPr="009D6039">
        <w:t>Cik ilgā laikā ir paredzēta ob</w:t>
      </w:r>
      <w:r>
        <w:t>jekta</w:t>
      </w:r>
      <w:r w:rsidRPr="009D6039">
        <w:t xml:space="preserve"> p</w:t>
      </w:r>
      <w:r>
        <w:t>ārņemšana</w:t>
      </w:r>
      <w:r w:rsidRPr="009D6039">
        <w:t xml:space="preserve"> no līguma noslēgšanas brīža</w:t>
      </w:r>
      <w:r>
        <w:t>?</w:t>
      </w:r>
    </w:p>
    <w:p w:rsidR="0034646B" w:rsidRDefault="0034646B" w:rsidP="0034646B">
      <w:pPr>
        <w:ind w:right="-153"/>
        <w:jc w:val="both"/>
      </w:pPr>
    </w:p>
    <w:p w:rsidR="0034646B" w:rsidRPr="00D577A7" w:rsidRDefault="0034646B" w:rsidP="0034646B">
      <w:pPr>
        <w:ind w:right="-153"/>
        <w:jc w:val="both"/>
        <w:rPr>
          <w:b/>
        </w:rPr>
      </w:pPr>
      <w:r w:rsidRPr="00D577A7">
        <w:rPr>
          <w:b/>
        </w:rPr>
        <w:t>Atbilde:</w:t>
      </w:r>
    </w:p>
    <w:p w:rsidR="0034646B" w:rsidRDefault="0034646B" w:rsidP="0034646B">
      <w:pPr>
        <w:ind w:right="-153"/>
        <w:jc w:val="both"/>
      </w:pPr>
      <w:r w:rsidRPr="008B1F32">
        <w:t xml:space="preserve">Plānotais </w:t>
      </w:r>
      <w:r>
        <w:t>o</w:t>
      </w:r>
      <w:r w:rsidRPr="008B1F32">
        <w:t xml:space="preserve">bjekta pārņemšanas laiks ir </w:t>
      </w:r>
      <w:r>
        <w:t>2018.gada februāris</w:t>
      </w:r>
      <w:r w:rsidRPr="008B1F32">
        <w:t>, taču</w:t>
      </w:r>
      <w:r>
        <w:t xml:space="preserve"> šis termiņš</w:t>
      </w:r>
      <w:r w:rsidRPr="008B1F32">
        <w:t xml:space="preserve"> var mainīties konkursa gaitā, ja rodas neplānota aizķeršanās saistībā ar iesniegumu izskatīšanu un rezultātu apstiprināšanu</w:t>
      </w:r>
      <w:r>
        <w:t>.</w:t>
      </w:r>
    </w:p>
    <w:p w:rsidR="0034646B" w:rsidRDefault="0034646B" w:rsidP="0034646B">
      <w:pPr>
        <w:ind w:right="-153"/>
        <w:jc w:val="both"/>
      </w:pPr>
    </w:p>
    <w:p w:rsidR="0034646B" w:rsidRPr="00D577A7" w:rsidRDefault="0034646B" w:rsidP="0034646B">
      <w:pPr>
        <w:ind w:right="-153"/>
        <w:jc w:val="both"/>
        <w:rPr>
          <w:b/>
        </w:rPr>
      </w:pPr>
      <w:r w:rsidRPr="00D577A7">
        <w:rPr>
          <w:b/>
        </w:rPr>
        <w:t>7.jautājums:</w:t>
      </w:r>
    </w:p>
    <w:p w:rsidR="0034646B" w:rsidRDefault="0034646B" w:rsidP="0034646B">
      <w:pPr>
        <w:ind w:right="-153"/>
        <w:jc w:val="both"/>
      </w:pPr>
      <w:r w:rsidRPr="00D577A7">
        <w:t xml:space="preserve">Vai izpildītājs tiks nodrošināts ar iekšējās kārtības noteikumiem- instrukcijām, evakuācijas plāniem, būtisku teritorijā esošo iekārtu, ierīču sistēmu, aprīkojumu aprakstiem, kā piemēram, ja tiek paredzēts uzraudzīt  katlu telpas, ventilācijas iekārtas,  servera telpas </w:t>
      </w:r>
      <w:proofErr w:type="spellStart"/>
      <w:r w:rsidRPr="00D577A7">
        <w:t>utml</w:t>
      </w:r>
      <w:proofErr w:type="spellEnd"/>
      <w:r w:rsidRPr="00D577A7">
        <w:t>.?</w:t>
      </w:r>
    </w:p>
    <w:p w:rsidR="0034646B" w:rsidRDefault="0034646B" w:rsidP="0034646B">
      <w:pPr>
        <w:ind w:right="-153"/>
        <w:jc w:val="both"/>
      </w:pPr>
    </w:p>
    <w:p w:rsidR="0034646B" w:rsidRPr="00D577A7" w:rsidRDefault="0034646B" w:rsidP="0034646B">
      <w:pPr>
        <w:ind w:right="-153"/>
        <w:jc w:val="both"/>
        <w:rPr>
          <w:b/>
        </w:rPr>
      </w:pPr>
      <w:r w:rsidRPr="00D577A7">
        <w:rPr>
          <w:b/>
        </w:rPr>
        <w:t>Atbilde:</w:t>
      </w:r>
    </w:p>
    <w:p w:rsidR="0034646B" w:rsidRDefault="0034646B" w:rsidP="0034646B">
      <w:pPr>
        <w:ind w:right="-153"/>
        <w:jc w:val="both"/>
      </w:pPr>
      <w:r>
        <w:t xml:space="preserve">Līguma izpildes laikā </w:t>
      </w:r>
      <w:r w:rsidRPr="00D577A7">
        <w:t>Izpildītājs tiks nodrošināt ar šiem dokumentiem, ja tādi būs nepieciešami</w:t>
      </w:r>
      <w:r>
        <w:t>.</w:t>
      </w:r>
    </w:p>
    <w:p w:rsidR="0034646B" w:rsidRDefault="0034646B" w:rsidP="0034646B">
      <w:pPr>
        <w:ind w:right="-153"/>
        <w:jc w:val="both"/>
      </w:pPr>
    </w:p>
    <w:p w:rsidR="0034646B" w:rsidRPr="00710479" w:rsidRDefault="0034646B" w:rsidP="0034646B">
      <w:pPr>
        <w:ind w:right="-153"/>
        <w:jc w:val="both"/>
        <w:rPr>
          <w:b/>
        </w:rPr>
      </w:pPr>
      <w:r w:rsidRPr="00710479">
        <w:rPr>
          <w:b/>
        </w:rPr>
        <w:t>8.jautājums:</w:t>
      </w:r>
    </w:p>
    <w:p w:rsidR="0034646B" w:rsidRDefault="0034646B" w:rsidP="0034646B">
      <w:pPr>
        <w:ind w:right="-153"/>
        <w:jc w:val="both"/>
      </w:pPr>
      <w:r w:rsidRPr="00CB5FA4">
        <w:rPr>
          <w:noProof/>
        </w:rPr>
        <w:drawing>
          <wp:inline distT="0" distB="0" distL="0" distR="0" wp14:anchorId="7E23512C" wp14:editId="2BEE03EA">
            <wp:extent cx="5903595" cy="455684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3595" cy="4556843"/>
                    </a:xfrm>
                    <a:prstGeom prst="rect">
                      <a:avLst/>
                    </a:prstGeom>
                    <a:noFill/>
                    <a:ln>
                      <a:noFill/>
                    </a:ln>
                  </pic:spPr>
                </pic:pic>
              </a:graphicData>
            </a:graphic>
          </wp:inline>
        </w:drawing>
      </w:r>
    </w:p>
    <w:p w:rsidR="0034646B" w:rsidRPr="00710479" w:rsidRDefault="0034646B" w:rsidP="0034646B">
      <w:pPr>
        <w:ind w:right="-153"/>
        <w:jc w:val="both"/>
        <w:rPr>
          <w:b/>
        </w:rPr>
      </w:pPr>
      <w:r w:rsidRPr="00710479">
        <w:rPr>
          <w:b/>
        </w:rPr>
        <w:t>Atbilde:</w:t>
      </w:r>
    </w:p>
    <w:p w:rsidR="0034646B" w:rsidRDefault="0034646B" w:rsidP="0034646B">
      <w:pPr>
        <w:ind w:right="-153"/>
        <w:jc w:val="both"/>
      </w:pPr>
      <w:r>
        <w:t xml:space="preserve">Pasūtītājs, izstrādājot nolikuma prasības, tajā ir iekļāvis noteikumus, kas tiešā veidā ir attiecināmi uz esošo situāciju ārstniecības iestādē, kā arī, lai saņemtu pilnvērtīgus apsardzes pakalpojumus. Iepirkuma komisija norāda, ka nolikumā izvirzītās prasības ir minimālās obligātās prasības. Pasūtītājs nekādā gadījumā nav noteicis ierobežojumus, ka pretendenta rīcībā nedrīkst būt vairāk kā tikai 2 mobilās </w:t>
      </w:r>
      <w:proofErr w:type="spellStart"/>
      <w:r>
        <w:t>patruļgrupas</w:t>
      </w:r>
      <w:proofErr w:type="spellEnd"/>
      <w:r>
        <w:t xml:space="preserve">, bet pretendentam jārēķinās, ka tieši 2 ir jābūt </w:t>
      </w:r>
      <w:r w:rsidRPr="006F333E">
        <w:rPr>
          <w:u w:val="single"/>
        </w:rPr>
        <w:t>tikai</w:t>
      </w:r>
      <w:r>
        <w:t xml:space="preserve"> pasūtītāja rīcībā. Līdz ar to iepirkuma komisijai, izvirzot prasību par 2 </w:t>
      </w:r>
      <w:proofErr w:type="spellStart"/>
      <w:r>
        <w:t>patruļgrupu</w:t>
      </w:r>
      <w:proofErr w:type="spellEnd"/>
      <w:r>
        <w:t xml:space="preserve"> esamību, nav pamats uzskatīt, ka pakalpojuma sniedzēja rīcībā to ir mazāk un ka tādējādi netiks nodrošināts nepieciešamais pakalpojums pilnā tā apmērā. </w:t>
      </w:r>
    </w:p>
    <w:p w:rsidR="0034646B" w:rsidRDefault="0034646B" w:rsidP="0034646B">
      <w:pPr>
        <w:spacing w:before="120"/>
        <w:ind w:right="-153"/>
        <w:jc w:val="both"/>
      </w:pPr>
    </w:p>
    <w:p w:rsidR="00230780" w:rsidRDefault="00230780" w:rsidP="00D869B0">
      <w:pPr>
        <w:jc w:val="both"/>
        <w:rPr>
          <w:b/>
          <w:snapToGrid w:val="0"/>
        </w:rPr>
      </w:pPr>
    </w:p>
    <w:sectPr w:rsidR="00230780" w:rsidSect="00295513">
      <w:headerReference w:type="even" r:id="rId9"/>
      <w:footerReference w:type="even" r:id="rId10"/>
      <w:footerReference w:type="default" r:id="rId11"/>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7B8" w:rsidRDefault="006777B8">
      <w:r>
        <w:separator/>
      </w:r>
    </w:p>
  </w:endnote>
  <w:endnote w:type="continuationSeparator" w:id="0">
    <w:p w:rsidR="006777B8" w:rsidRDefault="0067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646B">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7B8" w:rsidRDefault="006777B8">
      <w:r>
        <w:separator/>
      </w:r>
    </w:p>
  </w:footnote>
  <w:footnote w:type="continuationSeparator" w:id="0">
    <w:p w:rsidR="006777B8" w:rsidRDefault="0067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5"/>
  </w:num>
  <w:num w:numId="2">
    <w:abstractNumId w:val="20"/>
  </w:num>
  <w:num w:numId="3">
    <w:abstractNumId w:val="7"/>
  </w:num>
  <w:num w:numId="4">
    <w:abstractNumId w:val="9"/>
  </w:num>
  <w:num w:numId="5">
    <w:abstractNumId w:val="17"/>
  </w:num>
  <w:num w:numId="6">
    <w:abstractNumId w:val="24"/>
  </w:num>
  <w:num w:numId="7">
    <w:abstractNumId w:val="11"/>
  </w:num>
  <w:num w:numId="8">
    <w:abstractNumId w:val="23"/>
  </w:num>
  <w:num w:numId="9">
    <w:abstractNumId w:val="16"/>
  </w:num>
  <w:num w:numId="10">
    <w:abstractNumId w:val="13"/>
  </w:num>
  <w:num w:numId="11">
    <w:abstractNumId w:val="22"/>
  </w:num>
  <w:num w:numId="12">
    <w:abstractNumId w:val="3"/>
  </w:num>
  <w:num w:numId="13">
    <w:abstractNumId w:val="2"/>
  </w:num>
  <w:num w:numId="14">
    <w:abstractNumId w:val="26"/>
  </w:num>
  <w:num w:numId="15">
    <w:abstractNumId w:val="6"/>
  </w:num>
  <w:num w:numId="16">
    <w:abstractNumId w:val="0"/>
  </w:num>
  <w:num w:numId="17">
    <w:abstractNumId w:val="5"/>
  </w:num>
  <w:num w:numId="18">
    <w:abstractNumId w:val="8"/>
  </w:num>
  <w:num w:numId="19">
    <w:abstractNumId w:val="18"/>
  </w:num>
  <w:num w:numId="20">
    <w:abstractNumId w:val="10"/>
  </w:num>
  <w:num w:numId="21">
    <w:abstractNumId w:val="4"/>
  </w:num>
  <w:num w:numId="22">
    <w:abstractNumId w:val="19"/>
  </w:num>
  <w:num w:numId="23">
    <w:abstractNumId w:val="14"/>
  </w:num>
  <w:num w:numId="24">
    <w:abstractNumId w:val="21"/>
  </w:num>
  <w:num w:numId="25">
    <w:abstractNumId w:val="15"/>
  </w:num>
  <w:num w:numId="26">
    <w:abstractNumId w:val="12"/>
  </w:num>
  <w:num w:numId="27">
    <w:abstractNumId w:val="27"/>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E88"/>
    <w:rsid w:val="00064F5F"/>
    <w:rsid w:val="00066546"/>
    <w:rsid w:val="00071B26"/>
    <w:rsid w:val="0007217A"/>
    <w:rsid w:val="00076D3D"/>
    <w:rsid w:val="0007763B"/>
    <w:rsid w:val="00084919"/>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4646B"/>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697D"/>
    <w:rsid w:val="00580D47"/>
    <w:rsid w:val="00583B9B"/>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349C"/>
    <w:rsid w:val="0085104F"/>
    <w:rsid w:val="00854610"/>
    <w:rsid w:val="0085535E"/>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38F4"/>
    <w:rsid w:val="00904ED7"/>
    <w:rsid w:val="009109BB"/>
    <w:rsid w:val="00910EDD"/>
    <w:rsid w:val="0091276D"/>
    <w:rsid w:val="00913613"/>
    <w:rsid w:val="009138C7"/>
    <w:rsid w:val="00914835"/>
    <w:rsid w:val="00920DFB"/>
    <w:rsid w:val="009240F9"/>
    <w:rsid w:val="00925171"/>
    <w:rsid w:val="00932D1A"/>
    <w:rsid w:val="009365E8"/>
    <w:rsid w:val="00942D23"/>
    <w:rsid w:val="00942E15"/>
    <w:rsid w:val="00943EE3"/>
    <w:rsid w:val="00943F7D"/>
    <w:rsid w:val="0094501E"/>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30A3"/>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49"/>
    <w:rsid w:val="00AD6CCD"/>
    <w:rsid w:val="00AE180E"/>
    <w:rsid w:val="00AE3AB0"/>
    <w:rsid w:val="00AE3B28"/>
    <w:rsid w:val="00AE6183"/>
    <w:rsid w:val="00AF1153"/>
    <w:rsid w:val="00AF3598"/>
    <w:rsid w:val="00AF433C"/>
    <w:rsid w:val="00AF7F04"/>
    <w:rsid w:val="00B07703"/>
    <w:rsid w:val="00B161B7"/>
    <w:rsid w:val="00B16203"/>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36D1"/>
    <w:rsid w:val="00BC4FEB"/>
    <w:rsid w:val="00BC7D9D"/>
    <w:rsid w:val="00BD1259"/>
    <w:rsid w:val="00BD4635"/>
    <w:rsid w:val="00BD54C0"/>
    <w:rsid w:val="00BD5F51"/>
    <w:rsid w:val="00BE3DC7"/>
    <w:rsid w:val="00BE4627"/>
    <w:rsid w:val="00BE4AB5"/>
    <w:rsid w:val="00BE4FB9"/>
    <w:rsid w:val="00BF4E17"/>
    <w:rsid w:val="00BF76CD"/>
    <w:rsid w:val="00C01E4F"/>
    <w:rsid w:val="00C10310"/>
    <w:rsid w:val="00C1767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D0248D"/>
    <w:rsid w:val="00D06ACF"/>
    <w:rsid w:val="00D1478C"/>
    <w:rsid w:val="00D15B31"/>
    <w:rsid w:val="00D17EEA"/>
    <w:rsid w:val="00D20958"/>
    <w:rsid w:val="00D20BFE"/>
    <w:rsid w:val="00D20CF1"/>
    <w:rsid w:val="00D231D8"/>
    <w:rsid w:val="00D304E7"/>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64086"/>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60527-EEEA-42AB-8177-1E24E99A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3008</Characters>
  <Application>Microsoft Office Word</Application>
  <DocSecurity>0</DocSecurity>
  <Lines>25</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5</cp:revision>
  <cp:lastPrinted>2014-06-04T13:34:00Z</cp:lastPrinted>
  <dcterms:created xsi:type="dcterms:W3CDTF">2017-11-16T08:50:00Z</dcterms:created>
  <dcterms:modified xsi:type="dcterms:W3CDTF">2017-11-21T09:31:00Z</dcterms:modified>
</cp:coreProperties>
</file>