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5853D6">
        <w:rPr>
          <w:b/>
          <w:bCs/>
        </w:rPr>
        <w:t>8</w:t>
      </w:r>
      <w:r w:rsidRPr="00977804">
        <w:rPr>
          <w:b/>
          <w:bCs/>
        </w:rPr>
        <w:t xml:space="preserve">.gada </w:t>
      </w:r>
      <w:r w:rsidR="0095624E" w:rsidRPr="00064A63">
        <w:rPr>
          <w:b/>
          <w:bCs/>
        </w:rPr>
        <w:t>2</w:t>
      </w:r>
      <w:r w:rsidR="00064A63" w:rsidRPr="00064A63">
        <w:rPr>
          <w:b/>
          <w:bCs/>
        </w:rPr>
        <w:t>1</w:t>
      </w:r>
      <w:r w:rsidR="00F40C9D" w:rsidRPr="00064A63">
        <w:rPr>
          <w:b/>
          <w:bCs/>
        </w:rPr>
        <w:t>.</w:t>
      </w:r>
      <w:r w:rsidR="005853D6" w:rsidRPr="00064A63">
        <w:rPr>
          <w:b/>
          <w:bCs/>
        </w:rPr>
        <w:t>februāra</w:t>
      </w:r>
      <w:r w:rsidR="00066546" w:rsidRPr="00064A63">
        <w:rPr>
          <w:b/>
          <w:bCs/>
        </w:rPr>
        <w:t xml:space="preserve"> </w:t>
      </w:r>
      <w:r w:rsidR="00066546">
        <w:rPr>
          <w:b/>
          <w:bCs/>
        </w:rPr>
        <w:t>komis</w:t>
      </w:r>
      <w:r w:rsidR="008546F0">
        <w:rPr>
          <w:b/>
          <w:bCs/>
        </w:rPr>
        <w:t>ijas</w:t>
      </w:r>
      <w:r w:rsidR="00066546">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veikšanu</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8546F0" w:rsidRDefault="00A555AD" w:rsidP="008546F0">
      <w:pPr>
        <w:jc w:val="both"/>
        <w:rPr>
          <w:b/>
          <w:snapToGrid w:val="0"/>
        </w:rPr>
      </w:pPr>
      <w:bookmarkStart w:id="0" w:name="_Hlk506819729"/>
      <w:r>
        <w:rPr>
          <w:b/>
          <w:snapToGrid w:val="0"/>
        </w:rPr>
        <w:t>J</w:t>
      </w:r>
      <w:r w:rsidRPr="008E28FD">
        <w:rPr>
          <w:b/>
          <w:snapToGrid w:val="0"/>
        </w:rPr>
        <w:t>autājums</w:t>
      </w:r>
      <w:r w:rsidR="008546F0">
        <w:rPr>
          <w:b/>
          <w:snapToGrid w:val="0"/>
        </w:rPr>
        <w:t>:</w:t>
      </w:r>
    </w:p>
    <w:p w:rsidR="002A1E9A" w:rsidRPr="004C2B94" w:rsidRDefault="002A1E9A" w:rsidP="00C34DAD">
      <w:pPr>
        <w:spacing w:after="120"/>
        <w:ind w:left="177" w:firstLine="543"/>
        <w:jc w:val="both"/>
        <w:outlineLvl w:val="3"/>
        <w:rPr>
          <w:kern w:val="24"/>
          <w:lang w:eastAsia="ar-SA"/>
        </w:rPr>
      </w:pPr>
      <w:r>
        <w:rPr>
          <w:rFonts w:eastAsia="Calibri"/>
        </w:rPr>
        <w:t>Nolikuma 4.4.1.punktā (a) apakšpunktā noteiktajās prasībās ir norādīts:</w:t>
      </w:r>
      <w:r w:rsidRPr="002A1E9A">
        <w:rPr>
          <w:b/>
        </w:rPr>
        <w:t xml:space="preserve"> </w:t>
      </w:r>
      <w:r w:rsidRPr="008A275E">
        <w:t>kandidāta gada vidējais finanšu apgrozījums būvniecības pakalpojumu sniegšanā iepriekšējos 3 (trīs) pārskata gados  ir ne mazāks kā 25</w:t>
      </w:r>
      <w:bookmarkStart w:id="1" w:name="_GoBack"/>
      <w:bookmarkEnd w:id="1"/>
      <w:r w:rsidRPr="008A275E">
        <w:t xml:space="preserve"> 000 000,00 EUR (divdesmit pieci miljoni </w:t>
      </w:r>
      <w:r w:rsidRPr="008A275E">
        <w:rPr>
          <w:i/>
        </w:rPr>
        <w:t>euro</w:t>
      </w:r>
      <w:r w:rsidRPr="008A275E">
        <w:t>).</w:t>
      </w:r>
      <w:r w:rsidRPr="008A275E">
        <w:rPr>
          <w:kern w:val="24"/>
          <w:lang w:eastAsia="ar-SA"/>
        </w:rPr>
        <w:t xml:space="preserve"> Ja</w:t>
      </w:r>
      <w:r w:rsidRPr="004C2B94">
        <w:rPr>
          <w:kern w:val="24"/>
          <w:lang w:eastAsia="ar-SA"/>
        </w:rPr>
        <w:t xml:space="preserve"> kandidāts ir dibināts vēlāk, tad kandidāta finanšu apgrozījumam jāatbilst iepriekš minētajai prasībai attiecīgi īsākā laika periodā.</w:t>
      </w:r>
      <w:r>
        <w:rPr>
          <w:kern w:val="24"/>
          <w:lang w:eastAsia="ar-SA"/>
        </w:rPr>
        <w:t xml:space="preserve"> </w:t>
      </w:r>
      <w:r w:rsidRPr="004C2B94">
        <w:t>Kandidātam, kas reģistrēts 2017. gadā – jāiesniedz paraksttiesīgo personu apstiprināti operatīvās bilances dati par nostrādāto periodu.</w:t>
      </w:r>
    </w:p>
    <w:p w:rsidR="00BB0F08" w:rsidRPr="008A275E" w:rsidRDefault="002A1E9A" w:rsidP="00C34DAD">
      <w:pPr>
        <w:widowControl w:val="0"/>
        <w:suppressAutoHyphens/>
        <w:overflowPunct w:val="0"/>
        <w:autoSpaceDE w:val="0"/>
        <w:autoSpaceDN w:val="0"/>
        <w:adjustRightInd w:val="0"/>
        <w:spacing w:after="120"/>
        <w:ind w:left="142" w:right="-58" w:hanging="142"/>
        <w:jc w:val="both"/>
      </w:pPr>
      <w:r>
        <w:t xml:space="preserve">   Pēc likumdošanas</w:t>
      </w:r>
      <w:r w:rsidR="008A275E">
        <w:t>,</w:t>
      </w:r>
      <w:r>
        <w:t xml:space="preserve"> gada pārskata iesniegšanas datums par 2017.gadu ir 30.04.2018.,</w:t>
      </w:r>
      <w:r w:rsidR="008A275E">
        <w:t xml:space="preserve"> </w:t>
      </w:r>
      <w:r>
        <w:t>lūdzu precizējiet, par kuriem gadiem sniegt finanšu pārskatu bilanci, finanšu pārskatu peļņas vai zaudējumu aprēķinu un zvērināta revidenta atzinuma kopiju. Lūdzam Pasūtītāju apstiprināt, ka, ja Pretendents iesniegs finanšu pārskatu bilanci, finanšu pārskatu peļņas vai zaudējumu aprēķinu un zvērināta revidenta atzinuma kopiju par 2014., 2015</w:t>
      </w:r>
      <w:r w:rsidR="008A275E">
        <w:t>.,</w:t>
      </w:r>
      <w:r>
        <w:t xml:space="preserve"> un 2016. gadiem, tad Pretendenta piedāvājums netiks noraidīts.</w:t>
      </w:r>
    </w:p>
    <w:p w:rsidR="000816C4" w:rsidRDefault="00A555AD" w:rsidP="00BB0F08">
      <w:pPr>
        <w:rPr>
          <w:b/>
          <w:snapToGrid w:val="0"/>
        </w:rPr>
      </w:pPr>
      <w:r w:rsidRPr="00BE4FB9">
        <w:rPr>
          <w:b/>
          <w:snapToGrid w:val="0"/>
        </w:rPr>
        <w:t>Atbilde:</w:t>
      </w:r>
      <w:r w:rsidR="0095624E">
        <w:rPr>
          <w:b/>
          <w:snapToGrid w:val="0"/>
        </w:rPr>
        <w:t xml:space="preserve"> </w:t>
      </w:r>
    </w:p>
    <w:p w:rsidR="000816C4" w:rsidRDefault="000816C4" w:rsidP="000816C4">
      <w:pPr>
        <w:spacing w:after="120"/>
        <w:ind w:firstLine="720"/>
        <w:jc w:val="both"/>
        <w:rPr>
          <w:color w:val="000000"/>
        </w:rPr>
      </w:pPr>
      <w:r>
        <w:rPr>
          <w:color w:val="000000"/>
          <w:shd w:val="clear" w:color="auto" w:fill="FFFFFF"/>
        </w:rPr>
        <w:t>Publisko iepirkumu likuma 45.panta sestās daļas 3.punkta regulējums nosaka, ka piegādātājs savu finansiālo un saimniecisko stāvokli var apliecināt ar apliecinājumu par savu kopējo neto apgrozījumu vai, ja nepieciešams, apgrozījumu, kas attiecas uz konkrētā iepirkuma jomu, bet ne vairāk kā par trim </w:t>
      </w:r>
      <w:r>
        <w:rPr>
          <w:i/>
          <w:iCs/>
          <w:color w:val="000000"/>
          <w:u w:val="single"/>
          <w:shd w:val="clear" w:color="auto" w:fill="FFFFFF"/>
        </w:rPr>
        <w:t>iepriekšējiem pārskata gadiem</w:t>
      </w:r>
      <w:r>
        <w:rPr>
          <w:color w:val="000000"/>
          <w:shd w:val="clear" w:color="auto" w:fill="FFFFFF"/>
        </w:rPr>
        <w:t xml:space="preserve">, ciktāl informācija par šo apgrozījumu ir pieejama, ņemot vērā piegādātāja dibināšanas vai darbības uzsākšanas laiku, un faktu, ka piegādātājiem var būt atšķirīgi pārskata gada sākuma un beigu datumi. </w:t>
      </w:r>
    </w:p>
    <w:p w:rsidR="000816C4" w:rsidRDefault="000816C4" w:rsidP="000816C4">
      <w:pPr>
        <w:spacing w:after="120"/>
        <w:ind w:firstLine="720"/>
        <w:jc w:val="both"/>
        <w:rPr>
          <w:lang w:eastAsia="x-none"/>
        </w:rPr>
      </w:pPr>
      <w:r>
        <w:rPr>
          <w:color w:val="000000"/>
          <w:shd w:val="clear" w:color="auto" w:fill="FFFFFF"/>
        </w:rPr>
        <w:t>Ja kandidātam uz pieteikuma iesniegšanas brīdi atbilstoši normatīvo aktu regulējumam jāsagatavo pārskats par 2017. gadu līdz 30.04.2018., tad tas pasūtītājam iesniedz informāciju par iepriekšējiem sagatavotajiem pārskatiem, proti, par 2016., 2015. un 2014. gadu.</w:t>
      </w:r>
    </w:p>
    <w:bookmarkEnd w:id="0"/>
    <w:p w:rsidR="00BB0F08" w:rsidRPr="000816C4" w:rsidRDefault="00BB0F08" w:rsidP="000816C4"/>
    <w:sectPr w:rsidR="00BB0F08" w:rsidRPr="000816C4"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4F2" w:rsidRDefault="00C204F2">
      <w:r>
        <w:separator/>
      </w:r>
    </w:p>
  </w:endnote>
  <w:endnote w:type="continuationSeparator" w:id="0">
    <w:p w:rsidR="00C204F2" w:rsidRDefault="00C2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4F2" w:rsidRDefault="00C204F2">
      <w:r>
        <w:separator/>
      </w:r>
    </w:p>
  </w:footnote>
  <w:footnote w:type="continuationSeparator" w:id="0">
    <w:p w:rsidR="00C204F2" w:rsidRDefault="00C2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9"/>
  </w:num>
  <w:num w:numId="2">
    <w:abstractNumId w:val="24"/>
  </w:num>
  <w:num w:numId="3">
    <w:abstractNumId w:val="8"/>
  </w:num>
  <w:num w:numId="4">
    <w:abstractNumId w:val="11"/>
  </w:num>
  <w:num w:numId="5">
    <w:abstractNumId w:val="21"/>
  </w:num>
  <w:num w:numId="6">
    <w:abstractNumId w:val="28"/>
  </w:num>
  <w:num w:numId="7">
    <w:abstractNumId w:val="13"/>
  </w:num>
  <w:num w:numId="8">
    <w:abstractNumId w:val="27"/>
  </w:num>
  <w:num w:numId="9">
    <w:abstractNumId w:val="19"/>
  </w:num>
  <w:num w:numId="10">
    <w:abstractNumId w:val="16"/>
  </w:num>
  <w:num w:numId="11">
    <w:abstractNumId w:val="26"/>
  </w:num>
  <w:num w:numId="12">
    <w:abstractNumId w:val="4"/>
  </w:num>
  <w:num w:numId="13">
    <w:abstractNumId w:val="2"/>
  </w:num>
  <w:num w:numId="14">
    <w:abstractNumId w:val="30"/>
  </w:num>
  <w:num w:numId="15">
    <w:abstractNumId w:val="7"/>
  </w:num>
  <w:num w:numId="16">
    <w:abstractNumId w:val="0"/>
  </w:num>
  <w:num w:numId="17">
    <w:abstractNumId w:val="6"/>
  </w:num>
  <w:num w:numId="18">
    <w:abstractNumId w:val="10"/>
  </w:num>
  <w:num w:numId="19">
    <w:abstractNumId w:val="22"/>
  </w:num>
  <w:num w:numId="20">
    <w:abstractNumId w:val="12"/>
  </w:num>
  <w:num w:numId="21">
    <w:abstractNumId w:val="5"/>
  </w:num>
  <w:num w:numId="22">
    <w:abstractNumId w:val="23"/>
  </w:num>
  <w:num w:numId="23">
    <w:abstractNumId w:val="17"/>
  </w:num>
  <w:num w:numId="24">
    <w:abstractNumId w:val="25"/>
  </w:num>
  <w:num w:numId="25">
    <w:abstractNumId w:val="18"/>
  </w:num>
  <w:num w:numId="26">
    <w:abstractNumId w:val="15"/>
  </w:num>
  <w:num w:numId="27">
    <w:abstractNumId w:val="31"/>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9A"/>
    <w:rsid w:val="002A1EA4"/>
    <w:rsid w:val="002A6615"/>
    <w:rsid w:val="002B0051"/>
    <w:rsid w:val="002B0677"/>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C00619"/>
    <w:rsid w:val="00C01E4F"/>
    <w:rsid w:val="00C10310"/>
    <w:rsid w:val="00C17679"/>
    <w:rsid w:val="00C204F2"/>
    <w:rsid w:val="00C2516F"/>
    <w:rsid w:val="00C276F6"/>
    <w:rsid w:val="00C33304"/>
    <w:rsid w:val="00C34DAD"/>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379E"/>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00A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BC0A5-D64F-4FB9-AF78-FADE298D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1320</Words>
  <Characters>753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9</cp:revision>
  <cp:lastPrinted>2014-06-04T13:34:00Z</cp:lastPrinted>
  <dcterms:created xsi:type="dcterms:W3CDTF">2018-02-20T13:15:00Z</dcterms:created>
  <dcterms:modified xsi:type="dcterms:W3CDTF">2018-02-21T12:08:00Z</dcterms:modified>
</cp:coreProperties>
</file>