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18D" w:rsidRDefault="009B218D" w:rsidP="009B218D">
      <w:pPr>
        <w:ind w:right="-649"/>
        <w:rPr>
          <w:b/>
          <w:bCs/>
        </w:rPr>
      </w:pPr>
    </w:p>
    <w:p w:rsidR="009B218D" w:rsidRDefault="009B218D" w:rsidP="009B218D">
      <w:pPr>
        <w:ind w:right="-649"/>
        <w:jc w:val="center"/>
        <w:rPr>
          <w:b/>
          <w:bCs/>
        </w:rPr>
      </w:pPr>
    </w:p>
    <w:p w:rsidR="009B218D" w:rsidRPr="00977804" w:rsidRDefault="009B218D" w:rsidP="009B218D">
      <w:pPr>
        <w:ind w:right="-649"/>
        <w:jc w:val="center"/>
        <w:rPr>
          <w:b/>
          <w:bCs/>
        </w:rPr>
      </w:pPr>
      <w:r w:rsidRPr="000C372D">
        <w:rPr>
          <w:b/>
          <w:bCs/>
        </w:rPr>
        <w:t>Iepirkuma komisijas 2018.</w:t>
      </w:r>
      <w:r w:rsidR="00D832BB" w:rsidRPr="000C372D">
        <w:rPr>
          <w:b/>
          <w:bCs/>
        </w:rPr>
        <w:t xml:space="preserve"> </w:t>
      </w:r>
      <w:r w:rsidRPr="000C372D">
        <w:rPr>
          <w:b/>
          <w:bCs/>
        </w:rPr>
        <w:t xml:space="preserve">gada </w:t>
      </w:r>
      <w:r w:rsidR="000C372D" w:rsidRPr="000C372D">
        <w:rPr>
          <w:b/>
          <w:bCs/>
        </w:rPr>
        <w:t>1</w:t>
      </w:r>
      <w:r w:rsidRPr="000C372D">
        <w:rPr>
          <w:b/>
          <w:bCs/>
        </w:rPr>
        <w:t>.</w:t>
      </w:r>
      <w:r w:rsidR="00D832BB" w:rsidRPr="000C372D">
        <w:rPr>
          <w:b/>
          <w:bCs/>
        </w:rPr>
        <w:t xml:space="preserve"> </w:t>
      </w:r>
      <w:r w:rsidR="000C372D" w:rsidRPr="000C372D">
        <w:rPr>
          <w:b/>
          <w:bCs/>
        </w:rPr>
        <w:t>marta</w:t>
      </w:r>
      <w:r w:rsidRPr="000C372D">
        <w:rPr>
          <w:b/>
          <w:bCs/>
        </w:rPr>
        <w:t xml:space="preserve"> komisijas sēdē sniegtā</w:t>
      </w:r>
      <w:r w:rsidR="00F8305B">
        <w:rPr>
          <w:b/>
          <w:bCs/>
        </w:rPr>
        <w:t>s</w:t>
      </w:r>
      <w:r w:rsidRPr="00977804">
        <w:rPr>
          <w:b/>
          <w:bCs/>
        </w:rPr>
        <w:t xml:space="preserve"> </w:t>
      </w:r>
    </w:p>
    <w:p w:rsidR="009B218D" w:rsidRPr="00977804" w:rsidRDefault="009B218D" w:rsidP="009B218D">
      <w:pPr>
        <w:ind w:right="-649"/>
        <w:jc w:val="center"/>
        <w:rPr>
          <w:b/>
          <w:bCs/>
        </w:rPr>
      </w:pPr>
      <w:r>
        <w:rPr>
          <w:b/>
          <w:bCs/>
        </w:rPr>
        <w:t>atbilde</w:t>
      </w:r>
      <w:r w:rsidR="00F8305B">
        <w:rPr>
          <w:b/>
          <w:bCs/>
        </w:rPr>
        <w:t>s</w:t>
      </w:r>
      <w:r w:rsidRPr="00977804">
        <w:rPr>
          <w:b/>
          <w:bCs/>
        </w:rPr>
        <w:t xml:space="preserve"> uz uzdot</w:t>
      </w:r>
      <w:r w:rsidR="00F8305B">
        <w:rPr>
          <w:b/>
          <w:bCs/>
        </w:rPr>
        <w:t>ajiem</w:t>
      </w:r>
      <w:r w:rsidRPr="00977804">
        <w:rPr>
          <w:b/>
          <w:bCs/>
        </w:rPr>
        <w:t xml:space="preserve"> jautājum</w:t>
      </w:r>
      <w:r w:rsidR="00F8305B">
        <w:rPr>
          <w:b/>
          <w:bCs/>
        </w:rPr>
        <w:t>iem</w:t>
      </w:r>
      <w:r w:rsidRPr="00977804">
        <w:rPr>
          <w:b/>
          <w:bCs/>
        </w:rPr>
        <w:t xml:space="preserve"> par </w:t>
      </w:r>
    </w:p>
    <w:p w:rsidR="009B218D" w:rsidRPr="008E02CD" w:rsidRDefault="009B218D" w:rsidP="009B218D">
      <w:pPr>
        <w:jc w:val="center"/>
        <w:rPr>
          <w:rFonts w:eastAsia="Calibri"/>
          <w:lang w:eastAsia="en-US"/>
        </w:rPr>
      </w:pPr>
      <w:r>
        <w:rPr>
          <w:b/>
          <w:bCs/>
        </w:rPr>
        <w:t>konkursa procedūras ar sarunām</w:t>
      </w:r>
      <w:r w:rsidRPr="00977804">
        <w:rPr>
          <w:b/>
          <w:bCs/>
        </w:rPr>
        <w:t xml:space="preserve"> “</w:t>
      </w:r>
      <w:r>
        <w:rPr>
          <w:b/>
          <w:bCs/>
        </w:rPr>
        <w:t>A korpusa otrās kārtas būvdarbu veikšana</w:t>
      </w:r>
      <w:r w:rsidRPr="00977804">
        <w:rPr>
          <w:b/>
          <w:bCs/>
        </w:rPr>
        <w:t xml:space="preserve">”, </w:t>
      </w:r>
    </w:p>
    <w:p w:rsidR="009B218D" w:rsidRPr="00252F7E" w:rsidRDefault="009B218D" w:rsidP="009B218D">
      <w:pPr>
        <w:ind w:right="-649"/>
        <w:jc w:val="center"/>
        <w:rPr>
          <w:b/>
          <w:bCs/>
        </w:rPr>
      </w:pPr>
      <w:r w:rsidRPr="00977804">
        <w:rPr>
          <w:b/>
          <w:bCs/>
        </w:rPr>
        <w:t>ID Nr.</w:t>
      </w:r>
      <w:r>
        <w:rPr>
          <w:b/>
          <w:bCs/>
        </w:rPr>
        <w:t xml:space="preserve"> </w:t>
      </w:r>
      <w:r w:rsidRPr="00977804">
        <w:rPr>
          <w:b/>
          <w:bCs/>
        </w:rPr>
        <w:t>PSKUS 201</w:t>
      </w:r>
      <w:r>
        <w:rPr>
          <w:b/>
          <w:bCs/>
        </w:rPr>
        <w:t>8</w:t>
      </w:r>
      <w:r w:rsidRPr="00977804">
        <w:rPr>
          <w:b/>
          <w:bCs/>
        </w:rPr>
        <w:t>/</w:t>
      </w:r>
      <w:r>
        <w:rPr>
          <w:b/>
          <w:bCs/>
        </w:rPr>
        <w:t xml:space="preserve">2, </w:t>
      </w:r>
      <w:r w:rsidRPr="00252F7E">
        <w:rPr>
          <w:b/>
          <w:bCs/>
        </w:rPr>
        <w:t>1. posma kandidātu atlases nolikumu</w:t>
      </w:r>
    </w:p>
    <w:p w:rsidR="009B218D" w:rsidRDefault="009B218D" w:rsidP="009B218D">
      <w:pPr>
        <w:jc w:val="both"/>
        <w:rPr>
          <w:b/>
          <w:snapToGrid w:val="0"/>
        </w:rPr>
      </w:pPr>
      <w:bookmarkStart w:id="0" w:name="_Hlk506819729"/>
    </w:p>
    <w:bookmarkEnd w:id="0"/>
    <w:p w:rsidR="009B218D" w:rsidRPr="00F45C60" w:rsidRDefault="009B218D" w:rsidP="009B218D">
      <w:pPr>
        <w:ind w:right="-59"/>
        <w:jc w:val="both"/>
        <w:rPr>
          <w:b/>
          <w:snapToGrid w:val="0"/>
        </w:rPr>
      </w:pPr>
      <w:r w:rsidRPr="00F45C60">
        <w:rPr>
          <w:b/>
          <w:snapToGrid w:val="0"/>
        </w:rPr>
        <w:t>Jautājum</w:t>
      </w:r>
      <w:r w:rsidR="006E53ED">
        <w:rPr>
          <w:b/>
          <w:snapToGrid w:val="0"/>
        </w:rPr>
        <w:t>i</w:t>
      </w:r>
      <w:r w:rsidRPr="00F45C60">
        <w:rPr>
          <w:b/>
          <w:snapToGrid w:val="0"/>
        </w:rPr>
        <w:t>:</w:t>
      </w:r>
    </w:p>
    <w:p w:rsidR="0005723D" w:rsidRPr="0005723D" w:rsidRDefault="0005723D" w:rsidP="0005723D">
      <w:pPr>
        <w:pStyle w:val="ListParagraph"/>
        <w:numPr>
          <w:ilvl w:val="0"/>
          <w:numId w:val="4"/>
        </w:numPr>
        <w:suppressAutoHyphens/>
        <w:ind w:left="720"/>
        <w:jc w:val="both"/>
        <w:rPr>
          <w:i/>
          <w:color w:val="000000"/>
          <w:lang w:eastAsia="en-US"/>
        </w:rPr>
      </w:pPr>
      <w:r>
        <w:rPr>
          <w:color w:val="000000"/>
          <w:lang w:eastAsia="en-US"/>
        </w:rPr>
        <w:t>Iepirkuma nolikuma punktā 4.5.1. attiecībā par Kandidāta pieredzes prasībām, kā arī 4.5.2. punkta apakšpunktos 4.5.2.1.-4.5.2.8.  attiecībā par Kandidāta rīcībā esošo speciālistu pieredzes prasībām, ir pievienota atruna, ka “</w:t>
      </w:r>
      <w:r>
        <w:rPr>
          <w:i/>
          <w:color w:val="000000"/>
          <w:lang w:eastAsia="en-US"/>
        </w:rPr>
        <w:t xml:space="preserve">ar “publisku ēku” šī Nolikuma vajadzībām saprot ēku, 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w:t>
      </w:r>
      <w:r>
        <w:rPr>
          <w:i/>
          <w:color w:val="000000"/>
          <w:u w:val="single"/>
          <w:lang w:eastAsia="en-US"/>
        </w:rPr>
        <w:t>Ēkai ir vairāk nekā pieci virszemes stāvi un/vai ēkai ir vairāk nekā viens pazemes stāvs.</w:t>
      </w:r>
      <w:r>
        <w:rPr>
          <w:i/>
          <w:color w:val="000000"/>
          <w:lang w:eastAsia="en-US"/>
        </w:rPr>
        <w:t xml:space="preserve"> Ēkā paredzēts vienlaikus uzturēties vairāk nekā simt cilvēkiem.”</w:t>
      </w:r>
    </w:p>
    <w:p w:rsidR="0005723D" w:rsidRDefault="0005723D" w:rsidP="0005723D">
      <w:pPr>
        <w:jc w:val="both"/>
        <w:rPr>
          <w:color w:val="000000"/>
          <w:lang w:eastAsia="en-US"/>
        </w:rPr>
      </w:pPr>
      <w:r>
        <w:rPr>
          <w:color w:val="000000"/>
          <w:lang w:eastAsia="en-US"/>
        </w:rPr>
        <w:t xml:space="preserve">Norādām, ka: </w:t>
      </w:r>
    </w:p>
    <w:p w:rsidR="0005723D" w:rsidRPr="0005723D" w:rsidRDefault="0005723D" w:rsidP="0005723D">
      <w:pPr>
        <w:pStyle w:val="ListParagraph"/>
        <w:numPr>
          <w:ilvl w:val="0"/>
          <w:numId w:val="5"/>
        </w:numPr>
        <w:suppressAutoHyphens/>
        <w:jc w:val="both"/>
        <w:rPr>
          <w:color w:val="000000"/>
          <w:u w:val="single"/>
          <w:lang w:eastAsia="en-US"/>
        </w:rPr>
      </w:pPr>
      <w:r>
        <w:rPr>
          <w:color w:val="000000"/>
          <w:lang w:eastAsia="en-US"/>
        </w:rPr>
        <w:t>Atbilstoši 2014.gada 19.augusta Ministru kabineta noteikumiem Nr.500</w:t>
      </w:r>
      <w:r w:rsidR="00F8305B">
        <w:rPr>
          <w:color w:val="000000"/>
          <w:lang w:eastAsia="en-US"/>
        </w:rPr>
        <w:t xml:space="preserve"> </w:t>
      </w:r>
      <w:r>
        <w:rPr>
          <w:color w:val="000000"/>
          <w:lang w:eastAsia="en-US"/>
        </w:rPr>
        <w:t xml:space="preserve">“Vispārīgie būvnoteikumi” (turpmāk – Vispārīgie būvnoteikumi) ēkas tiek iedalītas grupās atkarībā no būvniecības sarežģītības pakāpes un iespējamās ietekmes uz cilvēku dzīvību, veselību un vidi, kā arī šo noteikumu 1.pielikumā noteiktajiem kritērijiem – 1) stāvu skaits; 2) cilvēku skaits (attiecībā uz publiskām ēkām); 3) platība, apbūves laukums (attiecībā uz ražošanas ēkām un noliktavām); 4) </w:t>
      </w:r>
      <w:proofErr w:type="spellStart"/>
      <w:r>
        <w:rPr>
          <w:color w:val="000000"/>
          <w:lang w:eastAsia="en-US"/>
        </w:rPr>
        <w:t>būvtilpums</w:t>
      </w:r>
      <w:proofErr w:type="spellEnd"/>
      <w:r>
        <w:rPr>
          <w:color w:val="000000"/>
          <w:lang w:eastAsia="en-US"/>
        </w:rPr>
        <w:t xml:space="preserve"> (attiecībā uz ūdens rezervuāriem vai citām šķidru, gāzveida vielu vai beramu materiālu uzglabāšanai paredzētajām ēkām); 5) jauda (attiecībā uz katlu mājām vai slēgto transformatoru apakšstaciju ēkām).</w:t>
      </w:r>
      <w:r>
        <w:t xml:space="preserve"> </w:t>
      </w:r>
      <w:r>
        <w:rPr>
          <w:color w:val="000000"/>
          <w:u w:val="single"/>
          <w:lang w:eastAsia="en-US"/>
        </w:rPr>
        <w:t xml:space="preserve">Lai noteiktu, vai ēka pieder pie konkrētās grupas ēkām, jābūt spēkā </w:t>
      </w:r>
      <w:r>
        <w:rPr>
          <w:b/>
          <w:color w:val="000000"/>
          <w:u w:val="single"/>
          <w:lang w:eastAsia="en-US"/>
        </w:rPr>
        <w:t xml:space="preserve">vienai </w:t>
      </w:r>
      <w:r>
        <w:rPr>
          <w:color w:val="000000"/>
          <w:u w:val="single"/>
          <w:lang w:eastAsia="en-US"/>
        </w:rPr>
        <w:t xml:space="preserve">no minētajām klasifikācijas pazīmēm. </w:t>
      </w:r>
    </w:p>
    <w:p w:rsidR="0005723D" w:rsidRPr="0005723D" w:rsidRDefault="0005723D" w:rsidP="0005723D">
      <w:pPr>
        <w:pStyle w:val="ListParagraph"/>
        <w:numPr>
          <w:ilvl w:val="0"/>
          <w:numId w:val="5"/>
        </w:numPr>
        <w:suppressAutoHyphens/>
        <w:jc w:val="both"/>
        <w:rPr>
          <w:color w:val="000000"/>
          <w:lang w:eastAsia="en-US"/>
        </w:rPr>
      </w:pPr>
      <w:r>
        <w:rPr>
          <w:color w:val="000000"/>
          <w:lang w:eastAsia="en-US"/>
        </w:rPr>
        <w:t>Ņemot vērā to, ka iepirkuma priekšmets ir III grupas publiska ēka, lai atbilstu III grupas publiskai ēkai, tai ir jāatbilst :</w:t>
      </w:r>
    </w:p>
    <w:p w:rsidR="0005723D" w:rsidRDefault="0005723D" w:rsidP="0005723D">
      <w:pPr>
        <w:jc w:val="both"/>
        <w:rPr>
          <w:color w:val="000000" w:themeColor="text1"/>
          <w:lang w:eastAsia="en-US"/>
        </w:rPr>
      </w:pPr>
      <w:r>
        <w:rPr>
          <w:color w:val="000000"/>
          <w:lang w:eastAsia="en-US"/>
        </w:rPr>
        <w:t xml:space="preserve">Pirmkārt - Latvijas būvnormatīvā LBN 208-15 "Publiskas būves" (apstiprināts ar Ministru kabineta 2015.gada 30.jūnija noteikumiem Nr.331) noteiktajām prasībām un </w:t>
      </w:r>
      <w:r>
        <w:rPr>
          <w:color w:val="000000" w:themeColor="text1"/>
          <w:lang w:eastAsia="en-US"/>
        </w:rPr>
        <w:t>terminiem-</w:t>
      </w:r>
    </w:p>
    <w:p w:rsidR="0005723D" w:rsidRDefault="0005723D" w:rsidP="0005723D">
      <w:pPr>
        <w:pStyle w:val="tv213"/>
        <w:spacing w:before="0" w:beforeAutospacing="0" w:after="0" w:afterAutospacing="0" w:line="293" w:lineRule="atLeast"/>
        <w:ind w:left="600"/>
        <w:jc w:val="both"/>
        <w:rPr>
          <w:color w:val="000000" w:themeColor="text1"/>
        </w:rPr>
      </w:pPr>
      <w:r>
        <w:rPr>
          <w:color w:val="000000" w:themeColor="text1"/>
        </w:rPr>
        <w:t xml:space="preserve">“2.4. </w:t>
      </w:r>
      <w:r>
        <w:rPr>
          <w:b/>
          <w:color w:val="000000" w:themeColor="text1"/>
        </w:rPr>
        <w:t>publiska būve</w:t>
      </w:r>
      <w:r>
        <w:rPr>
          <w:color w:val="000000" w:themeColor="text1"/>
        </w:rPr>
        <w:t xml:space="preserve"> – ēka, kurā vairāk nekā 50 % ēkas kopējās platības ir publiskas telpas vai telpas publiskas funkcijas nodrošināšanai, vai inženierbūve, kura paredzēta publiskai lietošanai (piemēram, estrādes, stadioni);</w:t>
      </w:r>
    </w:p>
    <w:p w:rsidR="0005723D" w:rsidRPr="0005723D" w:rsidRDefault="0005723D" w:rsidP="0005723D">
      <w:pPr>
        <w:pStyle w:val="tv213"/>
        <w:spacing w:before="0" w:beforeAutospacing="0" w:after="0" w:afterAutospacing="0" w:line="293" w:lineRule="atLeast"/>
        <w:ind w:left="600"/>
        <w:jc w:val="both"/>
        <w:rPr>
          <w:color w:val="000000" w:themeColor="text1"/>
        </w:rPr>
      </w:pPr>
      <w:r>
        <w:rPr>
          <w:color w:val="000000" w:themeColor="text1"/>
        </w:rPr>
        <w:t xml:space="preserve">2.5. </w:t>
      </w:r>
      <w:r>
        <w:rPr>
          <w:b/>
          <w:color w:val="000000" w:themeColor="text1"/>
        </w:rPr>
        <w:t>publiska telpa</w:t>
      </w:r>
      <w:r>
        <w:rPr>
          <w:color w:val="000000" w:themeColor="text1"/>
        </w:rPr>
        <w:t xml:space="preserve"> – sabiedrībai pieejama nedzīvojamā telpa, kurā īslaicīgi var uzturēties un saņemt dažādus pakalpojumus apmeklētāji (piemēram, skatītāji, pacienti, klienti, pircēji, pasažieri, studenti, audzēkņi)”.</w:t>
      </w:r>
    </w:p>
    <w:p w:rsidR="0005723D" w:rsidRDefault="0005723D" w:rsidP="0005723D">
      <w:pPr>
        <w:jc w:val="both"/>
        <w:rPr>
          <w:lang w:eastAsia="ar-SA"/>
        </w:rPr>
      </w:pPr>
      <w:r>
        <w:t xml:space="preserve">Otrkārt – Vispārīgo būvnoteikumu 1.pielikumā noteiktajam kritērijam – </w:t>
      </w:r>
    </w:p>
    <w:p w:rsidR="0005723D" w:rsidRDefault="0005723D" w:rsidP="0005723D">
      <w:pPr>
        <w:jc w:val="both"/>
      </w:pPr>
      <w:r>
        <w:t>“Publiska ēka, kurā paredzēts vienlaikus uzturēties vairāk nekā 100 cilvēkiem.”</w:t>
      </w:r>
    </w:p>
    <w:p w:rsidR="0005723D" w:rsidRDefault="0005723D" w:rsidP="0005723D">
      <w:pPr>
        <w:ind w:firstLine="720"/>
        <w:jc w:val="both"/>
      </w:pPr>
      <w:r>
        <w:t>Vēršam uzmanību, ka prasību pierādīt pieredzi III grupas publiskas ēkas būvniecībā pretendenti pierāda, jau izpildot vienu no minētajām klasifikācijas pazīmēm ar atbilstoši Latvijas būvnormatīvā LBN 208-15 "Publiskas būves" noteiktajām prasībām īstenotu objektu, līdz ar to vēl papildus prasība par pieredzi vairāk nekā piecu virszemes stāvu un/vai vairāk nekā viena pazemes stāva būvniecībā nepamatoti ierobežo konkurenci.</w:t>
      </w:r>
    </w:p>
    <w:p w:rsidR="0005723D" w:rsidRDefault="0005723D" w:rsidP="0005723D">
      <w:pPr>
        <w:ind w:firstLine="720"/>
        <w:jc w:val="both"/>
      </w:pPr>
      <w:r>
        <w:t>Nepamatoti apvienojot vairākas Vispārīgajos būvnoteikumos minētās III grupas ēkas klasifikācijas pazīmes, tiek ievērojami ierobežota konkurence, jo Latvijā šādu specifisku objektu Iepirkuma dokumentācijā norādītajā pieredzes pierādīšanas periodā ir ļoti maz, un tādējādi var notikt priekšrocību piešķiršana noteiktam pretendentam iepretim citiem konkurentiem.</w:t>
      </w:r>
    </w:p>
    <w:p w:rsidR="006E53ED" w:rsidRDefault="0005723D" w:rsidP="0005723D">
      <w:pPr>
        <w:ind w:firstLine="644"/>
        <w:jc w:val="both"/>
        <w:rPr>
          <w:kern w:val="24"/>
        </w:rPr>
      </w:pPr>
      <w:r>
        <w:t>Ņemot vērā iepriekš minēto, kā arī to, ka Iepirkuma nolikuma punktā 4.5.1. attiecībā par Kandidāta pieredzes prasībām un 4.5.2. punkta apakšpunktos 4.5.2.1.-</w:t>
      </w:r>
      <w:r w:rsidR="007B2B65">
        <w:t xml:space="preserve"> </w:t>
      </w:r>
      <w:r>
        <w:t xml:space="preserve">4.5.2.8.  attiecībā par Kandidāta rīcībā esošo speciālistu pieredzes prasībām ir noteiktas vēl papildus prasības attiecībā uz publiskās ēkas platību </w:t>
      </w:r>
      <w:r>
        <w:rPr>
          <w:kern w:val="24"/>
        </w:rPr>
        <w:t xml:space="preserve">m², attiecīgi nosakot ierobežojumu ēkām 5 000 m² un 12 000 m² platībā, </w:t>
      </w:r>
      <w:r>
        <w:rPr>
          <w:kern w:val="24"/>
        </w:rPr>
        <w:lastRenderedPageBreak/>
        <w:t>lūdzam Jūs precizēt konkurenci ierobežojošo prasību par ēkas stāvu skaitu – “Ēkai ir vairāk nekā pieci virszemes stāvi un/vai ēkai ir vairāk nekā viens pazemes stāvs.”, kas ir norādīta, kļūdaini interpretējot Vispārīgajos būvnoteikumos noteikto, izslēdzot to no attiecīgajiem Iepirkuma nolikuma punktiem!</w:t>
      </w:r>
    </w:p>
    <w:p w:rsidR="0005723D" w:rsidRPr="0005723D" w:rsidRDefault="0005723D" w:rsidP="0005723D">
      <w:pPr>
        <w:jc w:val="both"/>
        <w:rPr>
          <w:kern w:val="24"/>
        </w:rPr>
      </w:pPr>
    </w:p>
    <w:p w:rsidR="00D67076" w:rsidRDefault="00D67076" w:rsidP="00D67076">
      <w:pPr>
        <w:pStyle w:val="ListParagraph"/>
        <w:numPr>
          <w:ilvl w:val="0"/>
          <w:numId w:val="3"/>
        </w:numPr>
        <w:suppressAutoHyphens/>
        <w:jc w:val="both"/>
        <w:rPr>
          <w:kern w:val="24"/>
        </w:rPr>
      </w:pPr>
      <w:r>
        <w:rPr>
          <w:kern w:val="24"/>
        </w:rPr>
        <w:t xml:space="preserve">Iepirkuma nolikuma punktā 4.2.1. ir noteikts iesniegt Kandidāta pieteikumu dalībai konkursa procedūrā ar sarunām saskaņā ar iepirkuma procedūras 1.pielikuma veidni EIS sistēmā. </w:t>
      </w:r>
    </w:p>
    <w:p w:rsidR="00D67076" w:rsidRPr="0019796F" w:rsidRDefault="00D67076" w:rsidP="00D67076">
      <w:pPr>
        <w:pStyle w:val="ListParagraph"/>
        <w:jc w:val="both"/>
        <w:rPr>
          <w:kern w:val="24"/>
        </w:rPr>
      </w:pPr>
      <w:r w:rsidRPr="0019796F">
        <w:rPr>
          <w:kern w:val="24"/>
        </w:rPr>
        <w:t>Iepirkuma nolikuma 1.pielikuma veidnē ir paredzēts uzrādīt no cik lapām sastāv pieteikuma dokumentu pakete.</w:t>
      </w:r>
    </w:p>
    <w:p w:rsidR="00D67076" w:rsidRDefault="00D67076" w:rsidP="00D67076">
      <w:pPr>
        <w:jc w:val="both"/>
        <w:rPr>
          <w:kern w:val="24"/>
        </w:rPr>
      </w:pPr>
    </w:p>
    <w:p w:rsidR="00D67076" w:rsidRPr="00435F07" w:rsidRDefault="00D67076" w:rsidP="00D67076">
      <w:pPr>
        <w:jc w:val="both"/>
        <w:rPr>
          <w:kern w:val="24"/>
        </w:rPr>
      </w:pPr>
      <w:r w:rsidRPr="00435F07">
        <w:rPr>
          <w:kern w:val="24"/>
        </w:rPr>
        <w:t>Norādām, ka:</w:t>
      </w:r>
    </w:p>
    <w:p w:rsidR="00D67076" w:rsidRDefault="00D67076" w:rsidP="00D67076">
      <w:pPr>
        <w:jc w:val="both"/>
        <w:rPr>
          <w:kern w:val="24"/>
        </w:rPr>
      </w:pPr>
      <w:r>
        <w:rPr>
          <w:kern w:val="24"/>
        </w:rPr>
        <w:t>Atbilstoši iepirkuma nolikumam pieteikuma dokumenti ir jāiesniedz nevis papīra formātā tos numurējot un cauršaujot, bet gan EIS.</w:t>
      </w:r>
    </w:p>
    <w:p w:rsidR="00D67076" w:rsidRDefault="00D67076" w:rsidP="00D67076">
      <w:pPr>
        <w:jc w:val="both"/>
        <w:rPr>
          <w:kern w:val="24"/>
        </w:rPr>
      </w:pPr>
    </w:p>
    <w:p w:rsidR="00D67076" w:rsidRDefault="00D67076" w:rsidP="00D67076">
      <w:pPr>
        <w:jc w:val="both"/>
        <w:rPr>
          <w:kern w:val="24"/>
        </w:rPr>
      </w:pPr>
      <w:r w:rsidRPr="00435F07">
        <w:rPr>
          <w:kern w:val="24"/>
        </w:rPr>
        <w:t>Lūdzam Jūs precizēt iepirkuma 1.pielikumā doto veidni, svītrojot no veidnes  tekstu - “Pieteikuma dokumentu pakete sastāv no _________ (_____________) lapām.” Veidnes!</w:t>
      </w:r>
    </w:p>
    <w:p w:rsidR="00D67076" w:rsidRDefault="00D67076" w:rsidP="00D67076">
      <w:pPr>
        <w:jc w:val="both"/>
        <w:rPr>
          <w:kern w:val="24"/>
        </w:rPr>
      </w:pPr>
    </w:p>
    <w:p w:rsidR="00D67076" w:rsidRPr="00435F07" w:rsidRDefault="00D67076" w:rsidP="00D67076">
      <w:pPr>
        <w:pStyle w:val="ListParagraph"/>
        <w:numPr>
          <w:ilvl w:val="0"/>
          <w:numId w:val="3"/>
        </w:numPr>
        <w:suppressAutoHyphens/>
        <w:jc w:val="both"/>
        <w:rPr>
          <w:kern w:val="24"/>
        </w:rPr>
      </w:pPr>
      <w:r>
        <w:rPr>
          <w:kern w:val="24"/>
        </w:rPr>
        <w:t>Iepirkuma nolikuma 4.2.5.</w:t>
      </w:r>
      <w:r w:rsidR="008D7239">
        <w:rPr>
          <w:kern w:val="24"/>
        </w:rPr>
        <w:t xml:space="preserve"> </w:t>
      </w:r>
      <w:r>
        <w:rPr>
          <w:kern w:val="24"/>
        </w:rPr>
        <w:t xml:space="preserve">ir noteikts iesniegt </w:t>
      </w:r>
      <w:r w:rsidRPr="00435F07">
        <w:rPr>
          <w:kern w:val="24"/>
        </w:rPr>
        <w:t>Kandidātu piesaistīto apakšuzņēmēju saraksts saskaņā ar Nolikuma 1.pielikuma veidni, norādot katram apakšuzņēmējam izpildei nododamās Iepirkuma l</w:t>
      </w:r>
      <w:r>
        <w:rPr>
          <w:kern w:val="24"/>
        </w:rPr>
        <w:t xml:space="preserve">īguma daļas procentuālo vērtību ar atrunu, ka </w:t>
      </w:r>
      <w:r w:rsidRPr="00435F07">
        <w:rPr>
          <w:kern w:val="24"/>
        </w:rPr>
        <w:t>Kandidāts minēto informāciju var sniegt tiktāl, ciktāl tā tam ir pieejama, kā arī norādīt, ka, iesniedzot piedāvājumu, šī informācija varēs tikt precizēta.</w:t>
      </w:r>
    </w:p>
    <w:p w:rsidR="00D67076" w:rsidRDefault="00D67076" w:rsidP="00D67076">
      <w:pPr>
        <w:jc w:val="both"/>
        <w:rPr>
          <w:kern w:val="24"/>
        </w:rPr>
      </w:pPr>
    </w:p>
    <w:p w:rsidR="00D67076" w:rsidRDefault="00D67076" w:rsidP="00D67076">
      <w:pPr>
        <w:jc w:val="both"/>
        <w:rPr>
          <w:kern w:val="24"/>
        </w:rPr>
      </w:pPr>
      <w:r>
        <w:rPr>
          <w:kern w:val="24"/>
        </w:rPr>
        <w:t>Atbilstoši iepirkuma nolikuma 1. Pielikuma veidnē ir jānorāda ne tikai veicamo darbu apjoms %, bet arī veicamo darbu apjoms EUR.</w:t>
      </w:r>
    </w:p>
    <w:p w:rsidR="00D67076" w:rsidRDefault="00D67076" w:rsidP="00D67076">
      <w:pPr>
        <w:jc w:val="both"/>
        <w:rPr>
          <w:kern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6"/>
        <w:gridCol w:w="1654"/>
        <w:gridCol w:w="1654"/>
        <w:gridCol w:w="2225"/>
      </w:tblGrid>
      <w:tr w:rsidR="00D67076" w:rsidRPr="000F09D9" w:rsidTr="00647B53">
        <w:tc>
          <w:tcPr>
            <w:tcW w:w="4002" w:type="dxa"/>
          </w:tcPr>
          <w:p w:rsidR="00D67076" w:rsidRPr="000F09D9" w:rsidRDefault="00D67076" w:rsidP="00647B53">
            <w:pPr>
              <w:jc w:val="center"/>
              <w:rPr>
                <w:b/>
                <w:i/>
                <w:sz w:val="21"/>
                <w:szCs w:val="21"/>
                <w:lang w:eastAsia="en-US"/>
              </w:rPr>
            </w:pPr>
            <w:r w:rsidRPr="000F09D9">
              <w:rPr>
                <w:b/>
                <w:i/>
                <w:sz w:val="21"/>
                <w:szCs w:val="21"/>
                <w:lang w:eastAsia="en-US"/>
              </w:rPr>
              <w:t>Apakšuzņēmēja nosaukums, reģistrācijas numurs, adrese, kontaktpersona, tālruņa numurs</w:t>
            </w:r>
          </w:p>
        </w:tc>
        <w:tc>
          <w:tcPr>
            <w:tcW w:w="1773" w:type="dxa"/>
            <w:shd w:val="clear" w:color="auto" w:fill="D9D9D9" w:themeFill="background1" w:themeFillShade="D9"/>
          </w:tcPr>
          <w:p w:rsidR="00D67076" w:rsidRPr="000F09D9" w:rsidRDefault="00D67076" w:rsidP="00647B53">
            <w:pPr>
              <w:jc w:val="center"/>
              <w:rPr>
                <w:b/>
                <w:i/>
                <w:sz w:val="21"/>
                <w:szCs w:val="21"/>
                <w:lang w:eastAsia="en-US"/>
              </w:rPr>
            </w:pPr>
            <w:r w:rsidRPr="000F09D9">
              <w:rPr>
                <w:b/>
                <w:i/>
                <w:sz w:val="21"/>
                <w:szCs w:val="21"/>
                <w:lang w:eastAsia="en-US"/>
              </w:rPr>
              <w:t>Veicamo darbu apjoms %</w:t>
            </w:r>
          </w:p>
        </w:tc>
        <w:tc>
          <w:tcPr>
            <w:tcW w:w="1773" w:type="dxa"/>
            <w:shd w:val="clear" w:color="auto" w:fill="D9D9D9" w:themeFill="background1" w:themeFillShade="D9"/>
          </w:tcPr>
          <w:p w:rsidR="00D67076" w:rsidRPr="000F09D9" w:rsidRDefault="00D67076" w:rsidP="00647B53">
            <w:pPr>
              <w:jc w:val="center"/>
              <w:rPr>
                <w:b/>
                <w:i/>
                <w:sz w:val="21"/>
                <w:szCs w:val="21"/>
                <w:lang w:eastAsia="en-US"/>
              </w:rPr>
            </w:pPr>
            <w:r w:rsidRPr="000F09D9">
              <w:rPr>
                <w:b/>
                <w:i/>
                <w:sz w:val="21"/>
                <w:szCs w:val="21"/>
                <w:lang w:eastAsia="en-US"/>
              </w:rPr>
              <w:t>Veicamo darbu apjoms EUR</w:t>
            </w:r>
          </w:p>
        </w:tc>
        <w:tc>
          <w:tcPr>
            <w:tcW w:w="2375" w:type="dxa"/>
          </w:tcPr>
          <w:p w:rsidR="00D67076" w:rsidRPr="000F09D9" w:rsidRDefault="00D67076" w:rsidP="00647B53">
            <w:pPr>
              <w:jc w:val="center"/>
              <w:rPr>
                <w:b/>
                <w:i/>
                <w:sz w:val="21"/>
                <w:szCs w:val="21"/>
                <w:lang w:eastAsia="en-US"/>
              </w:rPr>
            </w:pPr>
            <w:r w:rsidRPr="000F09D9">
              <w:rPr>
                <w:b/>
                <w:i/>
                <w:sz w:val="21"/>
                <w:szCs w:val="21"/>
                <w:lang w:eastAsia="en-US"/>
              </w:rPr>
              <w:t>Veicamo darbu raksturojums</w:t>
            </w:r>
          </w:p>
        </w:tc>
      </w:tr>
      <w:tr w:rsidR="00D67076" w:rsidRPr="000F09D9" w:rsidTr="00647B53">
        <w:tc>
          <w:tcPr>
            <w:tcW w:w="4002" w:type="dxa"/>
          </w:tcPr>
          <w:p w:rsidR="00D67076" w:rsidRPr="000F09D9" w:rsidRDefault="00D67076" w:rsidP="00647B53">
            <w:pPr>
              <w:jc w:val="center"/>
              <w:rPr>
                <w:b/>
                <w:i/>
                <w:sz w:val="21"/>
                <w:szCs w:val="21"/>
                <w:lang w:eastAsia="en-US"/>
              </w:rPr>
            </w:pPr>
          </w:p>
        </w:tc>
        <w:tc>
          <w:tcPr>
            <w:tcW w:w="1773" w:type="dxa"/>
            <w:shd w:val="clear" w:color="auto" w:fill="D9D9D9" w:themeFill="background1" w:themeFillShade="D9"/>
          </w:tcPr>
          <w:p w:rsidR="00D67076" w:rsidRPr="000F09D9" w:rsidRDefault="00D67076" w:rsidP="00647B53">
            <w:pPr>
              <w:jc w:val="center"/>
              <w:rPr>
                <w:b/>
                <w:i/>
                <w:sz w:val="21"/>
                <w:szCs w:val="21"/>
                <w:lang w:eastAsia="en-US"/>
              </w:rPr>
            </w:pPr>
          </w:p>
        </w:tc>
        <w:tc>
          <w:tcPr>
            <w:tcW w:w="1773" w:type="dxa"/>
            <w:shd w:val="clear" w:color="auto" w:fill="D9D9D9" w:themeFill="background1" w:themeFillShade="D9"/>
          </w:tcPr>
          <w:p w:rsidR="00D67076" w:rsidRPr="000F09D9" w:rsidRDefault="00D67076" w:rsidP="00647B53">
            <w:pPr>
              <w:jc w:val="center"/>
              <w:rPr>
                <w:b/>
                <w:i/>
                <w:sz w:val="21"/>
                <w:szCs w:val="21"/>
                <w:lang w:eastAsia="en-US"/>
              </w:rPr>
            </w:pPr>
          </w:p>
        </w:tc>
        <w:tc>
          <w:tcPr>
            <w:tcW w:w="2375" w:type="dxa"/>
          </w:tcPr>
          <w:p w:rsidR="00D67076" w:rsidRPr="000F09D9" w:rsidRDefault="00D67076" w:rsidP="00647B53">
            <w:pPr>
              <w:jc w:val="center"/>
              <w:rPr>
                <w:b/>
                <w:i/>
                <w:sz w:val="21"/>
                <w:szCs w:val="21"/>
                <w:lang w:eastAsia="en-US"/>
              </w:rPr>
            </w:pPr>
          </w:p>
        </w:tc>
      </w:tr>
    </w:tbl>
    <w:p w:rsidR="00D67076" w:rsidRDefault="00D67076" w:rsidP="00D67076">
      <w:pPr>
        <w:jc w:val="both"/>
        <w:rPr>
          <w:kern w:val="24"/>
        </w:rPr>
      </w:pPr>
    </w:p>
    <w:p w:rsidR="00D67076" w:rsidRDefault="00D67076" w:rsidP="00D67076">
      <w:pPr>
        <w:jc w:val="both"/>
        <w:rPr>
          <w:kern w:val="24"/>
        </w:rPr>
      </w:pPr>
      <w:r>
        <w:rPr>
          <w:kern w:val="24"/>
        </w:rPr>
        <w:t>Ņemot vēro to, ka iesniedzot pieteikumu Kandidāts</w:t>
      </w:r>
      <w:r w:rsidRPr="000F09D9">
        <w:t xml:space="preserve"> </w:t>
      </w:r>
      <w:r w:rsidRPr="000F09D9">
        <w:rPr>
          <w:kern w:val="24"/>
        </w:rPr>
        <w:t xml:space="preserve">nevar iesniegt </w:t>
      </w:r>
      <w:r>
        <w:rPr>
          <w:kern w:val="24"/>
        </w:rPr>
        <w:t xml:space="preserve">precīzu </w:t>
      </w:r>
      <w:r w:rsidRPr="000F09D9">
        <w:rPr>
          <w:kern w:val="24"/>
        </w:rPr>
        <w:t>informāciju par piesaistītajiem apakšuzņēmējiem nododamo līguma daļu</w:t>
      </w:r>
      <w:r>
        <w:rPr>
          <w:kern w:val="24"/>
        </w:rPr>
        <w:t xml:space="preserve"> un norādīt  to veicamo darbu apjomu % un EUR </w:t>
      </w:r>
      <w:r w:rsidRPr="000F09D9">
        <w:rPr>
          <w:kern w:val="24"/>
        </w:rPr>
        <w:t xml:space="preserve">, </w:t>
      </w:r>
      <w:r>
        <w:rPr>
          <w:kern w:val="24"/>
        </w:rPr>
        <w:t>vai Kandidāts aizpildot iepirkuma 1.pielikuma veidni drīkst neaizpildīt prasītās tabulas otro un trešo kolonnu?</w:t>
      </w:r>
    </w:p>
    <w:p w:rsidR="000C372D" w:rsidRDefault="000C372D" w:rsidP="00D67076">
      <w:pPr>
        <w:jc w:val="both"/>
        <w:rPr>
          <w:kern w:val="24"/>
        </w:rPr>
      </w:pPr>
    </w:p>
    <w:p w:rsidR="00D67076" w:rsidRDefault="006E53ED" w:rsidP="00D67076">
      <w:pPr>
        <w:jc w:val="both"/>
        <w:rPr>
          <w:b/>
          <w:kern w:val="24"/>
        </w:rPr>
      </w:pPr>
      <w:r w:rsidRPr="006E53ED">
        <w:rPr>
          <w:b/>
          <w:kern w:val="24"/>
        </w:rPr>
        <w:t>Atbilde (1)</w:t>
      </w:r>
      <w:r>
        <w:rPr>
          <w:b/>
          <w:kern w:val="24"/>
        </w:rPr>
        <w:t>:</w:t>
      </w:r>
    </w:p>
    <w:p w:rsidR="006326A6" w:rsidRPr="006326A6" w:rsidRDefault="006326A6" w:rsidP="006326A6">
      <w:pPr>
        <w:suppressAutoHyphens/>
        <w:ind w:right="-58" w:firstLine="720"/>
        <w:jc w:val="both"/>
        <w:rPr>
          <w:snapToGrid w:val="0"/>
        </w:rPr>
      </w:pPr>
      <w:bookmarkStart w:id="1" w:name="_Hlk507677747"/>
      <w:r w:rsidRPr="000F2D44">
        <w:rPr>
          <w:snapToGrid w:val="0"/>
        </w:rPr>
        <w:t>Iepirkuma komisija konstatē</w:t>
      </w:r>
      <w:r>
        <w:rPr>
          <w:snapToGrid w:val="0"/>
        </w:rPr>
        <w:t>ja</w:t>
      </w:r>
      <w:r w:rsidRPr="000F2D44">
        <w:rPr>
          <w:snapToGrid w:val="0"/>
        </w:rPr>
        <w:t xml:space="preserve">, ka no konkursa procedūras ar sarunām Nolikumā norādītajām atsaucēm, kas izskaidro terminu “publiska ēka”, </w:t>
      </w:r>
      <w:proofErr w:type="spellStart"/>
      <w:r w:rsidRPr="000F2D44">
        <w:rPr>
          <w:snapToGrid w:val="0"/>
        </w:rPr>
        <w:t>t.i</w:t>
      </w:r>
      <w:proofErr w:type="spellEnd"/>
      <w:r w:rsidRPr="000F2D44">
        <w:rPr>
          <w:snapToGrid w:val="0"/>
        </w:rPr>
        <w:t>: “</w:t>
      </w:r>
      <w:r w:rsidRPr="000F2D44">
        <w:rPr>
          <w:bCs/>
          <w:i/>
          <w:shd w:val="clear" w:color="auto" w:fill="FFFFFF"/>
        </w:rPr>
        <w:t xml:space="preserve">Ar “publisku ēku” šī Nolikuma vajadzībām saprot ēku, </w:t>
      </w:r>
      <w:r w:rsidRPr="000F2D44">
        <w:rPr>
          <w:i/>
          <w:bdr w:val="none" w:sz="0" w:space="0" w:color="auto" w:frame="1"/>
        </w:rPr>
        <w:t>kurā vairāk nekā 50 % ēkas kopējās platības ir publiskas telpas vai telpas publiskas funkcijas nodrošināšanai</w:t>
      </w:r>
      <w:r w:rsidRPr="000F2D44">
        <w:rPr>
          <w:i/>
          <w:shd w:val="clear" w:color="auto" w:fill="FFFFFF"/>
        </w:rPr>
        <w:t xml:space="preserve"> (publiska telpa – sabiedrībai pieejama nedzīvojamā telpa, kurā īslaicīgi var uzturēties un saņemt dažādus pakalpojumus apmeklētāji (piemēram, skatītāji, pacienti, klienti, pircēji, pasažieri, studenti, audzēkņi)</w:t>
      </w:r>
      <w:r w:rsidRPr="000F2D44">
        <w:rPr>
          <w:i/>
          <w:bdr w:val="none" w:sz="0" w:space="0" w:color="auto" w:frame="1"/>
          <w:lang w:bidi="hi-IN"/>
        </w:rPr>
        <w:t xml:space="preserve">. Ēkai </w:t>
      </w:r>
      <w:r w:rsidRPr="000F2D44">
        <w:rPr>
          <w:i/>
          <w:shd w:val="clear" w:color="auto" w:fill="FFFFFF"/>
        </w:rPr>
        <w:t xml:space="preserve">ir vairāk nekā pieci virszemes stāvi un/vai ēkai ir vairāk nekā viens pazemes stāvs. </w:t>
      </w:r>
      <w:r w:rsidRPr="000F2D44">
        <w:rPr>
          <w:i/>
          <w:shd w:val="clear" w:color="auto" w:fill="FFFFFF"/>
          <w:lang w:bidi="hi-IN"/>
        </w:rPr>
        <w:t>Ēkā pa</w:t>
      </w:r>
      <w:r w:rsidRPr="000F2D44">
        <w:rPr>
          <w:i/>
          <w:shd w:val="clear" w:color="auto" w:fill="FFFFFF"/>
        </w:rPr>
        <w:t xml:space="preserve">redzēts vienlaikus uzturēties vairāk nekā simt cilvēkiem” </w:t>
      </w:r>
      <w:r w:rsidRPr="000F2D44">
        <w:rPr>
          <w:shd w:val="clear" w:color="auto" w:fill="FFFFFF"/>
        </w:rPr>
        <w:t xml:space="preserve">nav viennozīmīgi saprotams, ka, lai noteiktu, vai objekts atbilst Nolikumā noteiktajai ēku grupai, ir jāizpildās </w:t>
      </w:r>
      <w:r w:rsidR="00B738FA">
        <w:rPr>
          <w:shd w:val="clear" w:color="auto" w:fill="FFFFFF"/>
        </w:rPr>
        <w:t>tikai</w:t>
      </w:r>
      <w:r w:rsidRPr="000F2D44">
        <w:rPr>
          <w:shd w:val="clear" w:color="auto" w:fill="FFFFFF"/>
        </w:rPr>
        <w:t xml:space="preserve"> vienai no minētajām klasifikācijas pazīmēm,</w:t>
      </w:r>
      <w:r>
        <w:rPr>
          <w:shd w:val="clear" w:color="auto" w:fill="FFFFFF"/>
        </w:rPr>
        <w:t xml:space="preserve"> saskaņā ar </w:t>
      </w:r>
      <w:r>
        <w:rPr>
          <w:color w:val="000000"/>
          <w:shd w:val="clear" w:color="auto" w:fill="FFFFFF"/>
        </w:rPr>
        <w:t>Ministru kabineta 2014. gada 19. augusta noteikumos Nr.500 “Vispārīgie būvnoteikumi” 1.pielikumā “Būvju iedalījums grupās atbilstoši būvniecības procesam”.</w:t>
      </w:r>
    </w:p>
    <w:p w:rsidR="006E53ED" w:rsidRDefault="006326A6" w:rsidP="007B2B65">
      <w:pPr>
        <w:ind w:firstLine="720"/>
        <w:jc w:val="both"/>
        <w:rPr>
          <w:b/>
          <w:bCs/>
          <w:snapToGrid w:val="0"/>
        </w:rPr>
      </w:pPr>
      <w:r>
        <w:rPr>
          <w:b/>
          <w:bCs/>
        </w:rPr>
        <w:t xml:space="preserve">Iepirkuma komisija informē, ka, saskaņā ar ieinteresētā piegādātāja jautājumu, </w:t>
      </w:r>
      <w:r w:rsidR="007B2B65">
        <w:rPr>
          <w:b/>
          <w:bCs/>
        </w:rPr>
        <w:t>konkursa procedūras ar sarunām</w:t>
      </w:r>
      <w:r w:rsidR="00AD680F">
        <w:rPr>
          <w:b/>
          <w:bCs/>
        </w:rPr>
        <w:t xml:space="preserve"> Nolikuma</w:t>
      </w:r>
      <w:bookmarkStart w:id="2" w:name="_GoBack"/>
      <w:bookmarkEnd w:id="2"/>
      <w:r w:rsidR="007B2B65">
        <w:rPr>
          <w:b/>
          <w:bCs/>
        </w:rPr>
        <w:t xml:space="preserve"> </w:t>
      </w:r>
      <w:r>
        <w:rPr>
          <w:b/>
          <w:bCs/>
        </w:rPr>
        <w:t xml:space="preserve">redakcijā, tiks veikti grozījumi. Informācija par iepirkuma procedūras dokumentācijā veiktajiem grozījumiem tiks publicēta pasūtītāja mājas lapā, elektronisko iepirkumu sistēmā (www.eis.gov.lv) pie attiecīgā iepirkuma pēc </w:t>
      </w:r>
      <w:r>
        <w:rPr>
          <w:b/>
          <w:bCs/>
        </w:rPr>
        <w:lastRenderedPageBreak/>
        <w:t>tam, kad attiecīgie grozījumi tiks saskaņoti un publicēti Iepirkumu uzraudzības biroja mājas lapā internetā.</w:t>
      </w:r>
    </w:p>
    <w:bookmarkEnd w:id="1"/>
    <w:p w:rsidR="007B2B65" w:rsidRPr="007B2B65" w:rsidRDefault="007B2B65" w:rsidP="007B2B65">
      <w:pPr>
        <w:ind w:firstLine="720"/>
        <w:jc w:val="both"/>
        <w:rPr>
          <w:b/>
          <w:bCs/>
          <w:snapToGrid w:val="0"/>
        </w:rPr>
      </w:pPr>
    </w:p>
    <w:p w:rsidR="00150676" w:rsidRPr="00F45C60" w:rsidRDefault="00150676" w:rsidP="00150676">
      <w:pPr>
        <w:ind w:right="-59"/>
        <w:rPr>
          <w:b/>
          <w:snapToGrid w:val="0"/>
        </w:rPr>
      </w:pPr>
      <w:r w:rsidRPr="00F45C60">
        <w:rPr>
          <w:b/>
          <w:snapToGrid w:val="0"/>
        </w:rPr>
        <w:t>Atbilde</w:t>
      </w:r>
      <w:r>
        <w:rPr>
          <w:b/>
          <w:snapToGrid w:val="0"/>
        </w:rPr>
        <w:t xml:space="preserve"> (</w:t>
      </w:r>
      <w:r w:rsidR="006E53ED">
        <w:rPr>
          <w:b/>
          <w:snapToGrid w:val="0"/>
        </w:rPr>
        <w:t>2</w:t>
      </w:r>
      <w:r>
        <w:rPr>
          <w:b/>
          <w:snapToGrid w:val="0"/>
        </w:rPr>
        <w:t>)</w:t>
      </w:r>
      <w:r w:rsidRPr="00F45C60">
        <w:rPr>
          <w:b/>
          <w:snapToGrid w:val="0"/>
        </w:rPr>
        <w:t xml:space="preserve">: </w:t>
      </w:r>
    </w:p>
    <w:p w:rsidR="00150676" w:rsidRPr="000C372D" w:rsidRDefault="00150676" w:rsidP="00F20DD5">
      <w:pPr>
        <w:ind w:firstLine="720"/>
        <w:jc w:val="both"/>
        <w:rPr>
          <w:kern w:val="24"/>
        </w:rPr>
      </w:pPr>
      <w:r w:rsidRPr="000C372D">
        <w:rPr>
          <w:kern w:val="24"/>
        </w:rPr>
        <w:t xml:space="preserve">Atbilstoši iepirkuma nolikumam pieteikuma dokumenti ir jāiesniedz EIS. Attiecīgi sniedzam papildu skaidrojumu, ka, ja kandidātam, sagatavojot informāciju iesniegšanai EIS, nav iespējams noteikt pieteikuma apjomu (lappušu skaitu), t.i., informācija tiek ievadīta pakāpeniski un pa atsevišķām lapām, informāciju 1.pielikumā dotajā veidnē, sadaļā “Pieteikuma dokumentu pakete sastāv no _________ (_____________) lapām” – var nenorādīt. </w:t>
      </w:r>
    </w:p>
    <w:p w:rsidR="00D67076" w:rsidRDefault="00D67076" w:rsidP="00D67076">
      <w:pPr>
        <w:jc w:val="both"/>
        <w:rPr>
          <w:kern w:val="24"/>
        </w:rPr>
      </w:pPr>
    </w:p>
    <w:p w:rsidR="00D67076" w:rsidRPr="00F45C60" w:rsidRDefault="00D67076" w:rsidP="00D67076">
      <w:pPr>
        <w:ind w:right="-59"/>
        <w:rPr>
          <w:b/>
          <w:snapToGrid w:val="0"/>
        </w:rPr>
      </w:pPr>
      <w:r w:rsidRPr="00F45C60">
        <w:rPr>
          <w:b/>
          <w:snapToGrid w:val="0"/>
        </w:rPr>
        <w:t>Atbilde</w:t>
      </w:r>
      <w:r w:rsidR="00150676">
        <w:rPr>
          <w:b/>
          <w:snapToGrid w:val="0"/>
        </w:rPr>
        <w:t xml:space="preserve"> (</w:t>
      </w:r>
      <w:r w:rsidR="006E53ED">
        <w:rPr>
          <w:b/>
          <w:snapToGrid w:val="0"/>
        </w:rPr>
        <w:t>3</w:t>
      </w:r>
      <w:r w:rsidR="00150676">
        <w:rPr>
          <w:b/>
          <w:snapToGrid w:val="0"/>
        </w:rPr>
        <w:t>)</w:t>
      </w:r>
      <w:r w:rsidRPr="00F45C60">
        <w:rPr>
          <w:b/>
          <w:snapToGrid w:val="0"/>
        </w:rPr>
        <w:t xml:space="preserve">: </w:t>
      </w:r>
    </w:p>
    <w:p w:rsidR="00D67076" w:rsidRDefault="00D67076" w:rsidP="00D67076">
      <w:pPr>
        <w:ind w:right="-57" w:firstLine="720"/>
        <w:jc w:val="both"/>
      </w:pPr>
      <w:r>
        <w:t xml:space="preserve">Saskaņā ar konkursa procedūras ar sarunām “A korpusa otrās kārtas būvdarbu veikšana” Nolikuma 4.2.5. punktu, </w:t>
      </w:r>
      <w:r w:rsidRPr="004C2B94">
        <w:t>Kandidātam jānorāda visi apakšuzņēmēji un apakšuzņēmēja apakšuzņēmēji</w:t>
      </w:r>
      <w:r>
        <w:t xml:space="preserve">, iesniedzot </w:t>
      </w:r>
      <w:r w:rsidRPr="004C2B94">
        <w:t>Kandidātu piesaistīto apakšuzņēmēju sarakst</w:t>
      </w:r>
      <w:r>
        <w:t>u</w:t>
      </w:r>
      <w:r w:rsidRPr="004C2B94">
        <w:t xml:space="preserve"> saskaņā ar </w:t>
      </w:r>
      <w:r>
        <w:t>Nolikuma</w:t>
      </w:r>
      <w:r w:rsidRPr="004C2B94">
        <w:t xml:space="preserve"> 1.pielikuma veidni, norādot katram apakšuzņēmējam izpildei nododamās </w:t>
      </w:r>
      <w:r>
        <w:t xml:space="preserve">Iepirkuma </w:t>
      </w:r>
      <w:r w:rsidRPr="004C2B94">
        <w:t xml:space="preserve">līguma daļas procentuālo vērtību. </w:t>
      </w:r>
    </w:p>
    <w:p w:rsidR="00D67076" w:rsidRDefault="00D67076" w:rsidP="00D67076">
      <w:pPr>
        <w:ind w:right="-57" w:firstLine="720"/>
        <w:jc w:val="both"/>
      </w:pPr>
      <w:r>
        <w:t xml:space="preserve">Ņemot vērā to, ka šajā iepirkuma procedūras posmā tiek veikta kandidātu atlase, saskaņā ar Nolikumā izvirzītajām kvalifikācijas prasībām, Kandidāts minēto informāciju </w:t>
      </w:r>
      <w:r w:rsidRPr="003F0F80">
        <w:rPr>
          <w:u w:val="single"/>
        </w:rPr>
        <w:t>var sniegt tiktāl, ciktāl tā tam ir pieejama</w:t>
      </w:r>
      <w:r>
        <w:t>, kā arī norādīt, ka, iesniedzot piedāvājumu, šī informācija varēs tikt precizēta.</w:t>
      </w:r>
    </w:p>
    <w:p w:rsidR="00D67076" w:rsidRPr="000C372D" w:rsidRDefault="00150676" w:rsidP="00D67076">
      <w:pPr>
        <w:jc w:val="both"/>
        <w:rPr>
          <w:kern w:val="24"/>
        </w:rPr>
      </w:pPr>
      <w:r>
        <w:tab/>
      </w:r>
      <w:r w:rsidR="00D67076" w:rsidRPr="000C372D">
        <w:t xml:space="preserve">Ievērojot minēto, </w:t>
      </w:r>
      <w:r w:rsidRPr="000C372D">
        <w:t>i</w:t>
      </w:r>
      <w:r w:rsidR="00D67076" w:rsidRPr="000C372D">
        <w:t xml:space="preserve">epirkuma komisija paskaidro, ka </w:t>
      </w:r>
      <w:r w:rsidRPr="000C372D">
        <w:rPr>
          <w:kern w:val="24"/>
        </w:rPr>
        <w:t>k</w:t>
      </w:r>
      <w:r w:rsidR="00D67076" w:rsidRPr="000C372D">
        <w:rPr>
          <w:kern w:val="24"/>
        </w:rPr>
        <w:t>andidāts</w:t>
      </w:r>
      <w:r w:rsidRPr="000C372D">
        <w:rPr>
          <w:kern w:val="24"/>
        </w:rPr>
        <w:t>,</w:t>
      </w:r>
      <w:r w:rsidR="00D67076" w:rsidRPr="000C372D">
        <w:rPr>
          <w:kern w:val="24"/>
        </w:rPr>
        <w:t xml:space="preserve"> aizpildot iepirkuma 1.pielikuma veidni</w:t>
      </w:r>
      <w:r w:rsidRPr="000C372D">
        <w:rPr>
          <w:kern w:val="24"/>
        </w:rPr>
        <w:t>,</w:t>
      </w:r>
      <w:r w:rsidR="00D67076" w:rsidRPr="000C372D">
        <w:rPr>
          <w:kern w:val="24"/>
        </w:rPr>
        <w:t xml:space="preserve"> drīkst neaizpildīt prasītās tabulas otro un trešo kolonnu</w:t>
      </w:r>
      <w:r w:rsidRPr="000C372D">
        <w:rPr>
          <w:kern w:val="24"/>
        </w:rPr>
        <w:t xml:space="preserve">, t.i., ir tiesīgs norādīt </w:t>
      </w:r>
      <w:r w:rsidRPr="000C372D">
        <w:t>informāciju tiktāl, ciktāl tā tam ir pieejama.</w:t>
      </w:r>
    </w:p>
    <w:p w:rsidR="00D67076" w:rsidRDefault="00D67076" w:rsidP="00D67076">
      <w:pPr>
        <w:ind w:right="-57" w:firstLine="720"/>
        <w:jc w:val="both"/>
      </w:pPr>
    </w:p>
    <w:p w:rsidR="009B218D" w:rsidRPr="00F45C60" w:rsidRDefault="009B218D" w:rsidP="009B218D">
      <w:pPr>
        <w:ind w:right="-59" w:firstLine="720"/>
        <w:jc w:val="both"/>
        <w:rPr>
          <w:snapToGrid w:val="0"/>
        </w:rPr>
      </w:pPr>
    </w:p>
    <w:p w:rsidR="009B218D" w:rsidRDefault="009B218D" w:rsidP="009B218D">
      <w:pPr>
        <w:ind w:right="-57" w:firstLine="720"/>
        <w:jc w:val="both"/>
      </w:pPr>
    </w:p>
    <w:p w:rsidR="009B218D" w:rsidRDefault="009B218D" w:rsidP="009B218D"/>
    <w:p w:rsidR="009B218D" w:rsidRPr="008156D7" w:rsidRDefault="009B218D" w:rsidP="009B218D"/>
    <w:p w:rsidR="009B218D" w:rsidRDefault="009B218D"/>
    <w:sectPr w:rsidR="009B218D" w:rsidSect="00295513">
      <w:headerReference w:type="even" r:id="rId7"/>
      <w:footerReference w:type="even" r:id="rId8"/>
      <w:footerReference w:type="default" r:id="rId9"/>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637" w:rsidRDefault="001B1637">
      <w:r>
        <w:separator/>
      </w:r>
    </w:p>
  </w:endnote>
  <w:endnote w:type="continuationSeparator" w:id="0">
    <w:p w:rsidR="001B1637" w:rsidRDefault="001B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150676"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1B1637"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150676"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680F">
      <w:rPr>
        <w:rStyle w:val="PageNumber"/>
        <w:noProof/>
      </w:rPr>
      <w:t>3</w:t>
    </w:r>
    <w:r>
      <w:rPr>
        <w:rStyle w:val="PageNumber"/>
      </w:rPr>
      <w:fldChar w:fldCharType="end"/>
    </w:r>
  </w:p>
  <w:p w:rsidR="00DD1202" w:rsidRDefault="001B1637"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637" w:rsidRDefault="001B1637">
      <w:r>
        <w:separator/>
      </w:r>
    </w:p>
  </w:footnote>
  <w:footnote w:type="continuationSeparator" w:id="0">
    <w:p w:rsidR="001B1637" w:rsidRDefault="001B1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150676"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1B1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E77D5"/>
    <w:multiLevelType w:val="hybridMultilevel"/>
    <w:tmpl w:val="F0C68E8A"/>
    <w:lvl w:ilvl="0" w:tplc="12C0959C">
      <w:start w:val="1"/>
      <w:numFmt w:val="decimal"/>
      <w:lvlText w:val="(%1)"/>
      <w:lvlJc w:val="left"/>
      <w:pPr>
        <w:ind w:left="1440" w:hanging="360"/>
      </w:pPr>
      <w:rPr>
        <w:rFonts w:hint="default"/>
        <w:sz w:val="23"/>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5BBA2B63"/>
    <w:multiLevelType w:val="hybridMultilevel"/>
    <w:tmpl w:val="6D86087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8473B79"/>
    <w:multiLevelType w:val="hybridMultilevel"/>
    <w:tmpl w:val="C52EFF54"/>
    <w:lvl w:ilvl="0" w:tplc="0426000F">
      <w:start w:val="1"/>
      <w:numFmt w:val="decimal"/>
      <w:lvlText w:val="%1."/>
      <w:lvlJc w:val="left"/>
      <w:pPr>
        <w:ind w:left="644" w:hanging="360"/>
      </w:pPr>
      <w:rPr>
        <w:rFonts w:hint="default"/>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6EFF0E73"/>
    <w:multiLevelType w:val="hybridMultilevel"/>
    <w:tmpl w:val="BFB63368"/>
    <w:lvl w:ilvl="0" w:tplc="C3FC378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8D"/>
    <w:rsid w:val="0005723D"/>
    <w:rsid w:val="000C372D"/>
    <w:rsid w:val="00150676"/>
    <w:rsid w:val="00166A0D"/>
    <w:rsid w:val="001B1637"/>
    <w:rsid w:val="003B3DDC"/>
    <w:rsid w:val="006326A6"/>
    <w:rsid w:val="00641633"/>
    <w:rsid w:val="006525FD"/>
    <w:rsid w:val="006E53ED"/>
    <w:rsid w:val="007B2B65"/>
    <w:rsid w:val="007B4755"/>
    <w:rsid w:val="00867B75"/>
    <w:rsid w:val="008D7239"/>
    <w:rsid w:val="009B218D"/>
    <w:rsid w:val="00A33AD2"/>
    <w:rsid w:val="00AD680F"/>
    <w:rsid w:val="00AF440E"/>
    <w:rsid w:val="00B71624"/>
    <w:rsid w:val="00B738FA"/>
    <w:rsid w:val="00D67076"/>
    <w:rsid w:val="00D832BB"/>
    <w:rsid w:val="00F20DD5"/>
    <w:rsid w:val="00F830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94CB"/>
  <w15:chartTrackingRefBased/>
  <w15:docId w15:val="{7CFDBBB7-86FA-43A9-A851-7AF8215B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18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218D"/>
    <w:pPr>
      <w:tabs>
        <w:tab w:val="center" w:pos="4153"/>
        <w:tab w:val="right" w:pos="8306"/>
      </w:tabs>
    </w:pPr>
  </w:style>
  <w:style w:type="character" w:customStyle="1" w:styleId="HeaderChar">
    <w:name w:val="Header Char"/>
    <w:basedOn w:val="DefaultParagraphFont"/>
    <w:link w:val="Header"/>
    <w:rsid w:val="009B218D"/>
    <w:rPr>
      <w:rFonts w:ascii="Times New Roman" w:eastAsia="Times New Roman" w:hAnsi="Times New Roman" w:cs="Times New Roman"/>
      <w:sz w:val="24"/>
      <w:szCs w:val="24"/>
      <w:lang w:eastAsia="lv-LV"/>
    </w:rPr>
  </w:style>
  <w:style w:type="character" w:styleId="PageNumber">
    <w:name w:val="page number"/>
    <w:basedOn w:val="DefaultParagraphFont"/>
    <w:rsid w:val="009B218D"/>
  </w:style>
  <w:style w:type="paragraph" w:styleId="Footer">
    <w:name w:val="footer"/>
    <w:basedOn w:val="Normal"/>
    <w:link w:val="FooterChar"/>
    <w:rsid w:val="009B218D"/>
    <w:pPr>
      <w:tabs>
        <w:tab w:val="center" w:pos="4153"/>
        <w:tab w:val="right" w:pos="8306"/>
      </w:tabs>
    </w:pPr>
  </w:style>
  <w:style w:type="character" w:customStyle="1" w:styleId="FooterChar">
    <w:name w:val="Footer Char"/>
    <w:basedOn w:val="DefaultParagraphFont"/>
    <w:link w:val="Footer"/>
    <w:rsid w:val="009B218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9B218D"/>
    <w:pPr>
      <w:ind w:left="720"/>
      <w:contextualSpacing/>
    </w:pPr>
  </w:style>
  <w:style w:type="paragraph" w:customStyle="1" w:styleId="c2">
    <w:name w:val="c2"/>
    <w:basedOn w:val="Normal"/>
    <w:rsid w:val="009B218D"/>
    <w:pPr>
      <w:spacing w:before="88" w:after="88"/>
    </w:pPr>
  </w:style>
  <w:style w:type="character" w:customStyle="1" w:styleId="c1">
    <w:name w:val="c1"/>
    <w:basedOn w:val="DefaultParagraphFont"/>
    <w:rsid w:val="009B218D"/>
  </w:style>
  <w:style w:type="paragraph" w:customStyle="1" w:styleId="tv213">
    <w:name w:val="tv213"/>
    <w:basedOn w:val="Normal"/>
    <w:rsid w:val="000572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652350">
      <w:bodyDiv w:val="1"/>
      <w:marLeft w:val="0"/>
      <w:marRight w:val="0"/>
      <w:marTop w:val="0"/>
      <w:marBottom w:val="0"/>
      <w:divBdr>
        <w:top w:val="none" w:sz="0" w:space="0" w:color="auto"/>
        <w:left w:val="none" w:sz="0" w:space="0" w:color="auto"/>
        <w:bottom w:val="none" w:sz="0" w:space="0" w:color="auto"/>
        <w:right w:val="none" w:sz="0" w:space="0" w:color="auto"/>
      </w:divBdr>
    </w:div>
    <w:div w:id="34216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5477</Words>
  <Characters>3122</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Puķe</dc:creator>
  <cp:keywords/>
  <dc:description/>
  <cp:lastModifiedBy>Diāna Belozerova</cp:lastModifiedBy>
  <cp:revision>12</cp:revision>
  <dcterms:created xsi:type="dcterms:W3CDTF">2018-02-28T13:49:00Z</dcterms:created>
  <dcterms:modified xsi:type="dcterms:W3CDTF">2018-03-01T13:05:00Z</dcterms:modified>
</cp:coreProperties>
</file>