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326E12">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404F92">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326E12">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404F92">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326E12" w:rsidP="00CA4972">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SIA “</w:t>
      </w:r>
      <w:proofErr w:type="spellStart"/>
      <w:r w:rsidR="00281AF1">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sidR="00281AF1">
        <w:rPr>
          <w:rFonts w:ascii="Times New Roman" w:eastAsia="Times New Roman" w:hAnsi="Times New Roman" w:cs="Times New Roman"/>
          <w:sz w:val="24"/>
          <w:szCs w:val="24"/>
        </w:rPr>
        <w:t>40003665589</w:t>
      </w:r>
      <w:r w:rsidR="00CA4972" w:rsidRPr="00CA4972">
        <w:rPr>
          <w:rFonts w:ascii="Times New Roman" w:eastAsia="Times New Roman" w:hAnsi="Times New Roman" w:cs="Times New Roman"/>
          <w:sz w:val="24"/>
          <w:szCs w:val="24"/>
        </w:rPr>
        <w:t xml:space="preserve">, tās </w:t>
      </w:r>
      <w:proofErr w:type="spellStart"/>
      <w:r w:rsidR="00294352" w:rsidRPr="00404F92">
        <w:rPr>
          <w:rFonts w:ascii="Times New Roman" w:eastAsia="Times New Roman" w:hAnsi="Times New Roman" w:cs="Times New Roman"/>
          <w:sz w:val="24"/>
          <w:szCs w:val="24"/>
        </w:rPr>
        <w:t>prokūristes</w:t>
      </w:r>
      <w:proofErr w:type="spellEnd"/>
      <w:r w:rsidR="00294352" w:rsidRPr="00404F92">
        <w:rPr>
          <w:rFonts w:ascii="Times New Roman" w:eastAsia="Times New Roman" w:hAnsi="Times New Roman" w:cs="Times New Roman"/>
          <w:sz w:val="24"/>
          <w:szCs w:val="24"/>
        </w:rPr>
        <w:t xml:space="preserve"> Elitas Siliņas</w:t>
      </w:r>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proofErr w:type="spellStart"/>
      <w:r w:rsidR="00294352" w:rsidRPr="00404F92">
        <w:rPr>
          <w:rFonts w:ascii="Times New Roman" w:eastAsia="Times New Roman" w:hAnsi="Times New Roman" w:cs="Times New Roman"/>
          <w:sz w:val="24"/>
          <w:szCs w:val="24"/>
        </w:rPr>
        <w:t>Prokūras</w:t>
      </w:r>
      <w:proofErr w:type="spellEnd"/>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326E12">
        <w:trPr>
          <w:trHeight w:val="104"/>
        </w:trPr>
        <w:tc>
          <w:tcPr>
            <w:tcW w:w="4463"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326E1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326E1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B52A0" w:rsidRPr="009B52A0" w:rsidRDefault="00326E12" w:rsidP="00326E12">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proofErr w:type="spellStart"/>
            <w:r w:rsidR="00281AF1">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281AF1">
              <w:rPr>
                <w:rFonts w:ascii="Times New Roman" w:eastAsia="Times New Roman" w:hAnsi="Times New Roman" w:cs="Times New Roman"/>
                <w:bCs/>
                <w:sz w:val="24"/>
                <w:szCs w:val="24"/>
                <w:lang w:val="lt-LT"/>
              </w:rPr>
              <w:t>40003665589</w:t>
            </w:r>
          </w:p>
          <w:p w:rsidR="00567250" w:rsidRPr="0015636A" w:rsidRDefault="00281AF1"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sidR="00B878D8">
              <w:rPr>
                <w:rFonts w:ascii="Times New Roman" w:eastAsia="Times New Roman" w:hAnsi="Times New Roman" w:cs="Times New Roman"/>
                <w:bCs/>
                <w:sz w:val="24"/>
                <w:szCs w:val="24"/>
                <w:lang w:val="lt-LT"/>
              </w:rPr>
              <w:t xml:space="preserve">AS </w:t>
            </w:r>
            <w:r w:rsidR="00281AF1">
              <w:rPr>
                <w:rFonts w:ascii="Times New Roman" w:eastAsia="Times New Roman" w:hAnsi="Times New Roman" w:cs="Times New Roman"/>
                <w:bCs/>
                <w:sz w:val="24"/>
                <w:szCs w:val="24"/>
                <w:lang w:val="lt-LT"/>
              </w:rPr>
              <w:t>Swedbank</w:t>
            </w:r>
          </w:p>
          <w:p w:rsidR="00B92A84" w:rsidRPr="0015636A"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sidR="00281AF1">
              <w:rPr>
                <w:rFonts w:ascii="Times New Roman" w:eastAsia="Times New Roman" w:hAnsi="Times New Roman" w:cs="Times New Roman"/>
                <w:bCs/>
                <w:sz w:val="24"/>
                <w:szCs w:val="24"/>
                <w:lang w:val="lt-LT"/>
              </w:rPr>
              <w:t>HABALV22</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Konta </w:t>
            </w:r>
            <w:r w:rsidR="00567250" w:rsidRPr="0015636A">
              <w:rPr>
                <w:rFonts w:ascii="Times New Roman" w:eastAsia="Times New Roman" w:hAnsi="Times New Roman" w:cs="Times New Roman"/>
                <w:bCs/>
                <w:sz w:val="24"/>
                <w:szCs w:val="24"/>
                <w:lang w:val="lt-LT"/>
              </w:rPr>
              <w:t>Nr.: L</w:t>
            </w:r>
            <w:r w:rsidR="00BC4025" w:rsidRPr="0015636A">
              <w:rPr>
                <w:rFonts w:ascii="Times New Roman" w:eastAsia="Times New Roman" w:hAnsi="Times New Roman" w:cs="Times New Roman"/>
                <w:bCs/>
                <w:sz w:val="24"/>
                <w:szCs w:val="24"/>
                <w:lang w:val="lt-LT"/>
              </w:rPr>
              <w:t>V</w:t>
            </w:r>
            <w:r w:rsidR="00281AF1">
              <w:rPr>
                <w:rFonts w:ascii="Times New Roman" w:eastAsia="Times New Roman" w:hAnsi="Times New Roman" w:cs="Times New Roman"/>
                <w:bCs/>
                <w:sz w:val="24"/>
                <w:szCs w:val="24"/>
                <w:lang w:val="lt-LT"/>
              </w:rPr>
              <w:t>08HABA0551013218451</w:t>
            </w:r>
          </w:p>
          <w:p w:rsidR="00A33F4E" w:rsidRDefault="00A33F4E"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326E12">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294352" w:rsidP="00326E12">
            <w:pPr>
              <w:tabs>
                <w:tab w:val="left" w:pos="2160"/>
              </w:tabs>
              <w:spacing w:after="0" w:line="256" w:lineRule="auto"/>
              <w:ind w:right="-1"/>
              <w:jc w:val="both"/>
              <w:rPr>
                <w:rFonts w:ascii="Times New Roman" w:eastAsia="Times New Roman" w:hAnsi="Times New Roman" w:cs="Times New Roman"/>
                <w:bCs/>
                <w:sz w:val="24"/>
                <w:szCs w:val="24"/>
                <w:lang w:val="lt-LT"/>
              </w:rPr>
            </w:pPr>
            <w:r w:rsidRPr="00CB21C8">
              <w:rPr>
                <w:rFonts w:ascii="Times New Roman" w:eastAsia="Times New Roman" w:hAnsi="Times New Roman" w:cs="Times New Roman"/>
                <w:bCs/>
                <w:sz w:val="24"/>
                <w:szCs w:val="24"/>
                <w:lang w:val="lt-LT"/>
              </w:rPr>
              <w:t>E.Siliņa</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CB21C8">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A5" w:rsidRDefault="00E04FA5" w:rsidP="009F496F">
      <w:pPr>
        <w:spacing w:after="0" w:line="240" w:lineRule="auto"/>
      </w:pPr>
      <w:r>
        <w:separator/>
      </w:r>
    </w:p>
  </w:endnote>
  <w:endnote w:type="continuationSeparator" w:id="0">
    <w:p w:rsidR="00E04FA5" w:rsidRDefault="00E04FA5"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326E12" w:rsidRDefault="00326E12">
        <w:pPr>
          <w:pStyle w:val="Footer"/>
          <w:jc w:val="center"/>
        </w:pPr>
        <w:r>
          <w:fldChar w:fldCharType="begin"/>
        </w:r>
        <w:r>
          <w:instrText>PAGE   \* MERGEFORMAT</w:instrText>
        </w:r>
        <w:r>
          <w:fldChar w:fldCharType="separate"/>
        </w:r>
        <w:r>
          <w:t>2</w:t>
        </w:r>
        <w:r>
          <w:fldChar w:fldCharType="end"/>
        </w:r>
      </w:p>
    </w:sdtContent>
  </w:sdt>
  <w:p w:rsidR="00326E12" w:rsidRDefault="00326E12"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326E12" w:rsidRDefault="00326E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6E12" w:rsidRDefault="0032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A5" w:rsidRDefault="00E04FA5" w:rsidP="009F496F">
      <w:pPr>
        <w:spacing w:after="0" w:line="240" w:lineRule="auto"/>
      </w:pPr>
      <w:r>
        <w:separator/>
      </w:r>
    </w:p>
  </w:footnote>
  <w:footnote w:type="continuationSeparator" w:id="0">
    <w:p w:rsidR="00E04FA5" w:rsidRDefault="00E04FA5"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15379A"/>
    <w:rsid w:val="0015636A"/>
    <w:rsid w:val="001625EE"/>
    <w:rsid w:val="00281AF1"/>
    <w:rsid w:val="00294352"/>
    <w:rsid w:val="002D6CDE"/>
    <w:rsid w:val="002E4016"/>
    <w:rsid w:val="003117F0"/>
    <w:rsid w:val="00326E12"/>
    <w:rsid w:val="00333CC3"/>
    <w:rsid w:val="00404F92"/>
    <w:rsid w:val="00455202"/>
    <w:rsid w:val="004733F7"/>
    <w:rsid w:val="00493E93"/>
    <w:rsid w:val="004A2E4C"/>
    <w:rsid w:val="00567250"/>
    <w:rsid w:val="005C0888"/>
    <w:rsid w:val="00661658"/>
    <w:rsid w:val="007229C4"/>
    <w:rsid w:val="007A770B"/>
    <w:rsid w:val="008A3EC9"/>
    <w:rsid w:val="00955AEB"/>
    <w:rsid w:val="00981734"/>
    <w:rsid w:val="009B27E0"/>
    <w:rsid w:val="009B52A0"/>
    <w:rsid w:val="009F496F"/>
    <w:rsid w:val="00A17089"/>
    <w:rsid w:val="00A17FBA"/>
    <w:rsid w:val="00A33F4E"/>
    <w:rsid w:val="00B878D8"/>
    <w:rsid w:val="00B92A84"/>
    <w:rsid w:val="00BC4025"/>
    <w:rsid w:val="00C6649C"/>
    <w:rsid w:val="00C74DCE"/>
    <w:rsid w:val="00CA4972"/>
    <w:rsid w:val="00CB21C8"/>
    <w:rsid w:val="00CB3DC7"/>
    <w:rsid w:val="00D51FC9"/>
    <w:rsid w:val="00DA23F8"/>
    <w:rsid w:val="00E04FA5"/>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7E13"/>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8713</Words>
  <Characters>4967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2019-07-29T08:23:00Z</dcterms:created>
  <dcterms:modified xsi:type="dcterms:W3CDTF">2019-09-16T10:59:00Z</dcterms:modified>
</cp:coreProperties>
</file>