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7B5" w:rsidRPr="000D47B5" w:rsidRDefault="000D47B5" w:rsidP="000D47B5">
      <w:pPr>
        <w:spacing w:after="0" w:line="240" w:lineRule="auto"/>
        <w:ind w:right="-766"/>
        <w:jc w:val="center"/>
        <w:rPr>
          <w:rFonts w:ascii="Times New Roman" w:eastAsia="Times New Roman" w:hAnsi="Times New Roman" w:cs="Times New Roman"/>
          <w:sz w:val="24"/>
          <w:szCs w:val="24"/>
        </w:rPr>
      </w:pPr>
      <w:r w:rsidRPr="000D47B5">
        <w:rPr>
          <w:rFonts w:ascii="Times New Roman" w:eastAsia="Times New Roman" w:hAnsi="Times New Roman" w:cs="Times New Roman"/>
          <w:b/>
          <w:bCs/>
          <w:sz w:val="24"/>
          <w:szCs w:val="24"/>
        </w:rPr>
        <w:t>VISPĀRĪGĀ VIENOŠANĀS Nr</w:t>
      </w:r>
      <w:r>
        <w:rPr>
          <w:rFonts w:ascii="Times New Roman" w:eastAsia="Times New Roman" w:hAnsi="Times New Roman" w:cs="Times New Roman"/>
          <w:sz w:val="24"/>
          <w:szCs w:val="24"/>
        </w:rPr>
        <w:t xml:space="preserve">. </w:t>
      </w:r>
      <w:r w:rsidR="000B65C4">
        <w:rPr>
          <w:rFonts w:ascii="Times New Roman" w:eastAsia="Times New Roman" w:hAnsi="Times New Roman" w:cs="Times New Roman"/>
          <w:sz w:val="24"/>
          <w:szCs w:val="24"/>
        </w:rPr>
        <w:t>SKUS 735/17-VV</w:t>
      </w:r>
    </w:p>
    <w:p w:rsidR="000D47B5" w:rsidRPr="000D47B5" w:rsidRDefault="000D47B5" w:rsidP="000D47B5">
      <w:pPr>
        <w:keepNext/>
        <w:spacing w:after="0" w:line="240" w:lineRule="auto"/>
        <w:ind w:right="-766"/>
        <w:jc w:val="center"/>
        <w:rPr>
          <w:rFonts w:ascii="Times New Roman" w:eastAsia="Times New Roman" w:hAnsi="Times New Roman" w:cs="Times New Roman"/>
          <w:sz w:val="24"/>
          <w:szCs w:val="24"/>
        </w:rPr>
      </w:pPr>
      <w:proofErr w:type="spellStart"/>
      <w:r w:rsidRPr="000D47B5">
        <w:rPr>
          <w:rFonts w:ascii="Times New Roman" w:eastAsia="Times New Roman" w:hAnsi="Times New Roman" w:cs="Times New Roman"/>
          <w:sz w:val="24"/>
          <w:szCs w:val="24"/>
        </w:rPr>
        <w:t>Kardioķirurģijas</w:t>
      </w:r>
      <w:proofErr w:type="spellEnd"/>
      <w:r w:rsidRPr="000D47B5">
        <w:rPr>
          <w:rFonts w:ascii="Times New Roman" w:eastAsia="Times New Roman" w:hAnsi="Times New Roman" w:cs="Times New Roman"/>
          <w:sz w:val="24"/>
          <w:szCs w:val="24"/>
        </w:rPr>
        <w:t xml:space="preserve"> vienreizlietojamo medicīnisko tehnoloģiju piegāde</w:t>
      </w:r>
    </w:p>
    <w:p w:rsidR="000D47B5" w:rsidRPr="000D47B5" w:rsidRDefault="000D47B5" w:rsidP="000D47B5">
      <w:pPr>
        <w:spacing w:after="0" w:line="240" w:lineRule="auto"/>
        <w:ind w:right="-766"/>
        <w:jc w:val="center"/>
        <w:rPr>
          <w:rFonts w:ascii="Times New Roman" w:eastAsia="Times New Roman" w:hAnsi="Times New Roman" w:cs="Times New Roman"/>
          <w:i/>
          <w:iCs/>
          <w:sz w:val="24"/>
          <w:szCs w:val="24"/>
        </w:rPr>
      </w:pPr>
    </w:p>
    <w:tbl>
      <w:tblPr>
        <w:tblW w:w="9358" w:type="dxa"/>
        <w:tblLook w:val="04A0" w:firstRow="1" w:lastRow="0" w:firstColumn="1" w:lastColumn="0" w:noHBand="0" w:noVBand="1"/>
      </w:tblPr>
      <w:tblGrid>
        <w:gridCol w:w="4670"/>
        <w:gridCol w:w="4688"/>
      </w:tblGrid>
      <w:tr w:rsidR="000D47B5" w:rsidRPr="000D47B5" w:rsidTr="002B6AD4">
        <w:trPr>
          <w:trHeight w:val="359"/>
        </w:trPr>
        <w:tc>
          <w:tcPr>
            <w:tcW w:w="4670" w:type="dxa"/>
            <w:shd w:val="clear" w:color="auto" w:fill="auto"/>
          </w:tcPr>
          <w:p w:rsidR="000D47B5" w:rsidRPr="000D47B5" w:rsidRDefault="000D47B5" w:rsidP="000D47B5">
            <w:pPr>
              <w:spacing w:after="0" w:line="240" w:lineRule="auto"/>
              <w:ind w:right="-766"/>
              <w:rPr>
                <w:rFonts w:ascii="Times New Roman" w:eastAsia="Times New Roman" w:hAnsi="Times New Roman" w:cs="Times New Roman"/>
                <w:sz w:val="24"/>
                <w:szCs w:val="24"/>
              </w:rPr>
            </w:pPr>
          </w:p>
          <w:p w:rsidR="000D47B5" w:rsidRPr="000D47B5" w:rsidRDefault="000D47B5" w:rsidP="000D47B5">
            <w:pPr>
              <w:spacing w:after="0" w:line="240" w:lineRule="auto"/>
              <w:ind w:right="-766"/>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rPr>
              <w:t>Rīgā,</w:t>
            </w:r>
          </w:p>
        </w:tc>
        <w:tc>
          <w:tcPr>
            <w:tcW w:w="4688" w:type="dxa"/>
            <w:shd w:val="clear" w:color="auto" w:fill="auto"/>
          </w:tcPr>
          <w:p w:rsidR="000D47B5" w:rsidRDefault="000D47B5" w:rsidP="000D47B5">
            <w:pPr>
              <w:spacing w:after="0" w:line="240" w:lineRule="auto"/>
              <w:ind w:right="-766"/>
              <w:rPr>
                <w:rFonts w:ascii="Times New Roman" w:eastAsia="Times New Roman" w:hAnsi="Times New Roman" w:cs="Times New Roman"/>
                <w:sz w:val="24"/>
                <w:szCs w:val="24"/>
              </w:rPr>
            </w:pPr>
          </w:p>
          <w:p w:rsidR="000D47B5" w:rsidRPr="000D47B5" w:rsidRDefault="000D47B5" w:rsidP="000D47B5">
            <w:pPr>
              <w:spacing w:after="0" w:line="240" w:lineRule="auto"/>
              <w:ind w:right="-7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D47B5">
              <w:rPr>
                <w:rFonts w:ascii="Times New Roman" w:eastAsia="Times New Roman" w:hAnsi="Times New Roman" w:cs="Times New Roman"/>
                <w:sz w:val="24"/>
                <w:szCs w:val="24"/>
              </w:rPr>
              <w:t xml:space="preserve">2017.gada </w:t>
            </w:r>
            <w:r w:rsidR="000B65C4">
              <w:rPr>
                <w:rFonts w:ascii="Times New Roman" w:eastAsia="Times New Roman" w:hAnsi="Times New Roman" w:cs="Times New Roman"/>
                <w:sz w:val="24"/>
                <w:szCs w:val="24"/>
              </w:rPr>
              <w:t>22.novembris</w:t>
            </w:r>
            <w:bookmarkStart w:id="0" w:name="_GoBack"/>
            <w:bookmarkEnd w:id="0"/>
          </w:p>
        </w:tc>
      </w:tr>
    </w:tbl>
    <w:p w:rsidR="000D47B5" w:rsidRPr="000D47B5" w:rsidRDefault="000D47B5" w:rsidP="000D47B5">
      <w:pPr>
        <w:tabs>
          <w:tab w:val="left" w:pos="6180"/>
        </w:tabs>
        <w:spacing w:after="0" w:line="240" w:lineRule="auto"/>
        <w:ind w:right="-766"/>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rPr>
        <w:t> </w:t>
      </w:r>
      <w:r w:rsidRPr="000D47B5">
        <w:rPr>
          <w:rFonts w:ascii="Times New Roman" w:eastAsia="Times New Roman" w:hAnsi="Times New Roman" w:cs="Times New Roman"/>
          <w:sz w:val="24"/>
          <w:szCs w:val="24"/>
        </w:rPr>
        <w:tab/>
      </w:r>
    </w:p>
    <w:p w:rsidR="000D47B5" w:rsidRPr="000D47B5" w:rsidRDefault="000D47B5" w:rsidP="000D47B5">
      <w:pPr>
        <w:spacing w:after="0" w:line="240" w:lineRule="auto"/>
        <w:ind w:right="-766"/>
        <w:jc w:val="both"/>
        <w:rPr>
          <w:rFonts w:ascii="Times New Roman" w:eastAsia="Times New Roman" w:hAnsi="Times New Roman" w:cs="Times New Roman"/>
          <w:sz w:val="24"/>
          <w:szCs w:val="24"/>
        </w:rPr>
      </w:pPr>
      <w:r w:rsidRPr="000D47B5">
        <w:rPr>
          <w:rFonts w:ascii="Times New Roman" w:eastAsia="Times New Roman" w:hAnsi="Times New Roman" w:cs="Times New Roman"/>
          <w:b/>
          <w:bCs/>
          <w:sz w:val="24"/>
          <w:szCs w:val="24"/>
        </w:rPr>
        <w:t>VSIA „Paula Stradiņa klīniskā universitātes slimnīca”</w:t>
      </w:r>
      <w:r w:rsidRPr="000D47B5">
        <w:rPr>
          <w:rFonts w:ascii="Times New Roman" w:eastAsia="Times New Roman" w:hAnsi="Times New Roman" w:cs="Times New Roman"/>
          <w:snapToGrid w:val="0"/>
          <w:sz w:val="24"/>
          <w:szCs w:val="24"/>
        </w:rPr>
        <w:t>, reģ.Nr.</w:t>
      </w:r>
      <w:r w:rsidRPr="000D47B5">
        <w:rPr>
          <w:rFonts w:ascii="Times New Roman" w:eastAsia="Times New Roman" w:hAnsi="Times New Roman" w:cs="Times New Roman"/>
          <w:sz w:val="24"/>
          <w:szCs w:val="24"/>
        </w:rPr>
        <w:t xml:space="preserve">40003457109, kuru, </w:t>
      </w:r>
      <w:r w:rsidRPr="007F1851">
        <w:rPr>
          <w:rFonts w:ascii="Times New Roman" w:eastAsia="Times New Roman" w:hAnsi="Times New Roman" w:cs="Times New Roman"/>
          <w:sz w:val="24"/>
          <w:szCs w:val="24"/>
        </w:rPr>
        <w:t xml:space="preserve">saskaņā ar statūtiem, pārstāv </w:t>
      </w:r>
      <w:r>
        <w:rPr>
          <w:rFonts w:ascii="Times New Roman" w:eastAsia="Times New Roman" w:hAnsi="Times New Roman" w:cs="Times New Roman"/>
          <w:sz w:val="24"/>
          <w:szCs w:val="24"/>
        </w:rPr>
        <w:t>valdes priekšsēdētāja Ilze Kreicberga un valdes locekles Arta Biruma un Elita Buša</w:t>
      </w:r>
      <w:r w:rsidRPr="007F1851">
        <w:rPr>
          <w:rFonts w:ascii="Times New Roman" w:eastAsia="Times New Roman" w:hAnsi="Times New Roman" w:cs="Times New Roman"/>
          <w:snapToGrid w:val="0"/>
          <w:sz w:val="24"/>
          <w:szCs w:val="24"/>
        </w:rPr>
        <w:t xml:space="preserve"> (turpmāk </w:t>
      </w:r>
      <w:r>
        <w:rPr>
          <w:rFonts w:ascii="Times New Roman" w:eastAsia="Times New Roman" w:hAnsi="Times New Roman" w:cs="Times New Roman"/>
          <w:snapToGrid w:val="0"/>
          <w:sz w:val="24"/>
          <w:szCs w:val="24"/>
        </w:rPr>
        <w:t xml:space="preserve">– </w:t>
      </w:r>
      <w:r w:rsidRPr="007F1851">
        <w:rPr>
          <w:rFonts w:ascii="Times New Roman" w:eastAsia="Times New Roman" w:hAnsi="Times New Roman" w:cs="Times New Roman"/>
          <w:snapToGrid w:val="0"/>
          <w:sz w:val="24"/>
          <w:szCs w:val="24"/>
        </w:rPr>
        <w:t>Pasūtītājs) no vienas puses,</w:t>
      </w:r>
      <w:r>
        <w:rPr>
          <w:rFonts w:ascii="Times New Roman" w:eastAsia="Times New Roman" w:hAnsi="Times New Roman" w:cs="Times New Roman"/>
          <w:snapToGrid w:val="0"/>
          <w:sz w:val="24"/>
          <w:szCs w:val="24"/>
        </w:rPr>
        <w:t xml:space="preserve"> </w:t>
      </w:r>
      <w:r w:rsidRPr="000D47B5">
        <w:rPr>
          <w:rFonts w:ascii="Times New Roman" w:eastAsia="Times New Roman" w:hAnsi="Times New Roman" w:cs="Times New Roman"/>
          <w:sz w:val="24"/>
          <w:szCs w:val="24"/>
        </w:rPr>
        <w:t>un</w:t>
      </w:r>
    </w:p>
    <w:p w:rsidR="000D47B5" w:rsidRDefault="000D47B5" w:rsidP="000D47B5">
      <w:pPr>
        <w:spacing w:after="0" w:line="240" w:lineRule="auto"/>
        <w:ind w:right="-766"/>
        <w:jc w:val="both"/>
        <w:rPr>
          <w:rFonts w:ascii="Times New Roman" w:eastAsia="Times New Roman" w:hAnsi="Times New Roman" w:cs="Times New Roman"/>
          <w:sz w:val="24"/>
          <w:szCs w:val="24"/>
          <w:lang w:eastAsia="lv-LV"/>
        </w:rPr>
      </w:pPr>
      <w:r w:rsidRPr="00F3107A">
        <w:rPr>
          <w:rFonts w:ascii="Times New Roman" w:eastAsia="Times New Roman" w:hAnsi="Times New Roman" w:cs="Times New Roman"/>
          <w:b/>
          <w:sz w:val="24"/>
          <w:szCs w:val="24"/>
          <w:lang w:eastAsia="lv-LV"/>
        </w:rPr>
        <w:t>SIA “</w:t>
      </w:r>
      <w:proofErr w:type="spellStart"/>
      <w:r w:rsidRPr="00F3107A">
        <w:rPr>
          <w:rFonts w:ascii="Times New Roman" w:eastAsia="Times New Roman" w:hAnsi="Times New Roman" w:cs="Times New Roman"/>
          <w:b/>
          <w:sz w:val="24"/>
          <w:szCs w:val="24"/>
          <w:lang w:eastAsia="lv-LV"/>
        </w:rPr>
        <w:t>OneMed</w:t>
      </w:r>
      <w:proofErr w:type="spellEnd"/>
      <w:r w:rsidRPr="00F3107A">
        <w:rPr>
          <w:rFonts w:ascii="Times New Roman" w:eastAsia="Times New Roman" w:hAnsi="Times New Roman" w:cs="Times New Roman"/>
          <w:b/>
          <w:sz w:val="24"/>
          <w:szCs w:val="24"/>
          <w:lang w:eastAsia="lv-LV"/>
        </w:rPr>
        <w:t>”</w:t>
      </w:r>
      <w:r>
        <w:rPr>
          <w:rFonts w:ascii="Times New Roman" w:eastAsia="Times New Roman" w:hAnsi="Times New Roman" w:cs="Times New Roman"/>
          <w:sz w:val="24"/>
          <w:szCs w:val="24"/>
          <w:lang w:eastAsia="lv-LV"/>
        </w:rPr>
        <w:t>, reģistrācijas Nr.40003551944</w:t>
      </w:r>
      <w:r w:rsidRPr="000D47B5">
        <w:rPr>
          <w:rFonts w:ascii="Times New Roman" w:eastAsia="Times New Roman" w:hAnsi="Times New Roman" w:cs="Times New Roman"/>
          <w:sz w:val="24"/>
          <w:szCs w:val="24"/>
          <w:lang w:eastAsia="lv-LV"/>
        </w:rPr>
        <w:t>, tā</w:t>
      </w:r>
      <w:r>
        <w:rPr>
          <w:rFonts w:ascii="Times New Roman" w:eastAsia="Times New Roman" w:hAnsi="Times New Roman" w:cs="Times New Roman"/>
          <w:sz w:val="24"/>
          <w:szCs w:val="24"/>
          <w:lang w:eastAsia="lv-LV"/>
        </w:rPr>
        <w:t xml:space="preserve">s </w:t>
      </w:r>
      <w:r w:rsidR="00727CC1">
        <w:rPr>
          <w:rFonts w:ascii="Times New Roman" w:eastAsia="Times New Roman" w:hAnsi="Times New Roman"/>
          <w:sz w:val="24"/>
          <w:szCs w:val="24"/>
          <w:lang w:eastAsia="lv-LV"/>
        </w:rPr>
        <w:t xml:space="preserve">prokūristu Jāņa </w:t>
      </w:r>
      <w:proofErr w:type="spellStart"/>
      <w:r w:rsidR="00727CC1">
        <w:rPr>
          <w:rFonts w:ascii="Times New Roman" w:eastAsia="Times New Roman" w:hAnsi="Times New Roman"/>
          <w:sz w:val="24"/>
          <w:szCs w:val="24"/>
          <w:lang w:eastAsia="lv-LV"/>
        </w:rPr>
        <w:t>Kūlanta</w:t>
      </w:r>
      <w:proofErr w:type="spellEnd"/>
      <w:r w:rsidR="00727CC1">
        <w:rPr>
          <w:rFonts w:ascii="Times New Roman" w:eastAsia="Times New Roman" w:hAnsi="Times New Roman"/>
          <w:sz w:val="24"/>
          <w:szCs w:val="24"/>
          <w:lang w:eastAsia="lv-LV"/>
        </w:rPr>
        <w:t xml:space="preserve"> un Māras Lazdiņas  </w:t>
      </w:r>
      <w:r w:rsidR="00727CC1">
        <w:rPr>
          <w:rFonts w:ascii="Times New Roman" w:eastAsia="Times New Roman" w:hAnsi="Times New Roman" w:cs="Times New Roman"/>
          <w:sz w:val="24"/>
          <w:szCs w:val="24"/>
          <w:lang w:eastAsia="lv-LV"/>
        </w:rPr>
        <w:t>personā, kuri</w:t>
      </w:r>
      <w:r>
        <w:rPr>
          <w:rFonts w:ascii="Times New Roman" w:eastAsia="Times New Roman" w:hAnsi="Times New Roman" w:cs="Times New Roman"/>
          <w:sz w:val="24"/>
          <w:szCs w:val="24"/>
          <w:lang w:eastAsia="lv-LV"/>
        </w:rPr>
        <w:t xml:space="preserve"> </w:t>
      </w:r>
      <w:r w:rsidRPr="000D47B5">
        <w:rPr>
          <w:rFonts w:ascii="Times New Roman" w:eastAsia="Times New Roman" w:hAnsi="Times New Roman" w:cs="Times New Roman"/>
          <w:sz w:val="24"/>
          <w:szCs w:val="24"/>
          <w:lang w:eastAsia="lv-LV"/>
        </w:rPr>
        <w:t>rīkojas uz</w:t>
      </w:r>
      <w:r>
        <w:rPr>
          <w:rFonts w:ascii="Times New Roman" w:eastAsia="Times New Roman" w:hAnsi="Times New Roman" w:cs="Times New Roman"/>
          <w:sz w:val="24"/>
          <w:szCs w:val="24"/>
          <w:lang w:eastAsia="lv-LV"/>
        </w:rPr>
        <w:t xml:space="preserve"> </w:t>
      </w:r>
      <w:r w:rsidR="00727CC1">
        <w:rPr>
          <w:rFonts w:ascii="Times New Roman" w:eastAsia="Times New Roman" w:hAnsi="Times New Roman" w:cs="Times New Roman"/>
          <w:sz w:val="24"/>
          <w:szCs w:val="24"/>
          <w:lang w:eastAsia="lv-LV"/>
        </w:rPr>
        <w:t>kopprokūras</w:t>
      </w:r>
      <w:r>
        <w:rPr>
          <w:rFonts w:ascii="Times New Roman" w:eastAsia="Times New Roman" w:hAnsi="Times New Roman" w:cs="Times New Roman"/>
          <w:sz w:val="24"/>
          <w:szCs w:val="24"/>
          <w:lang w:eastAsia="lv-LV"/>
        </w:rPr>
        <w:t xml:space="preserve"> pamata </w:t>
      </w:r>
      <w:r w:rsidRPr="000D47B5">
        <w:rPr>
          <w:rFonts w:ascii="Times New Roman" w:eastAsia="Times New Roman" w:hAnsi="Times New Roman" w:cs="Times New Roman"/>
          <w:sz w:val="24"/>
          <w:szCs w:val="24"/>
          <w:lang w:eastAsia="lv-LV"/>
        </w:rPr>
        <w:t>(turpmāk – Piegādātājs)</w:t>
      </w:r>
      <w:r w:rsidR="00F3107A">
        <w:rPr>
          <w:rFonts w:ascii="Times New Roman" w:eastAsia="Times New Roman" w:hAnsi="Times New Roman" w:cs="Times New Roman"/>
          <w:sz w:val="24"/>
          <w:szCs w:val="24"/>
          <w:lang w:eastAsia="lv-LV"/>
        </w:rPr>
        <w:t>,</w:t>
      </w:r>
    </w:p>
    <w:p w:rsidR="000D47B5" w:rsidRPr="000D47B5" w:rsidRDefault="000D47B5" w:rsidP="000D47B5">
      <w:pPr>
        <w:spacing w:after="0" w:line="240" w:lineRule="auto"/>
        <w:ind w:right="-766"/>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rPr>
        <w:t>no otras puses katrs atsevišķi saukts Līdzējs, bet abi kopā – Līdzēji, pamatojoties uz atklāta konkursa „</w:t>
      </w:r>
      <w:proofErr w:type="spellStart"/>
      <w:r w:rsidRPr="000D47B5">
        <w:rPr>
          <w:rFonts w:ascii="Times New Roman" w:eastAsia="Times New Roman" w:hAnsi="Times New Roman" w:cs="Times New Roman"/>
          <w:sz w:val="24"/>
          <w:szCs w:val="24"/>
        </w:rPr>
        <w:t>Kardioķirirģijas</w:t>
      </w:r>
      <w:proofErr w:type="spellEnd"/>
      <w:r w:rsidRPr="000D47B5">
        <w:rPr>
          <w:rFonts w:ascii="Times New Roman" w:eastAsia="Times New Roman" w:hAnsi="Times New Roman" w:cs="Times New Roman"/>
          <w:sz w:val="24"/>
          <w:szCs w:val="24"/>
        </w:rPr>
        <w:t xml:space="preserve"> vienreizlietojamo medicīnisko tehnoloģiju piegāde” (ID Nr. PSKUS 2017/19), rezultātiem un, saskaņā ar Piegādātāja iepirkumā iesniegto piedāvājumu, noslēdz šādu vispārīgo vienošanos (turpmāk – Vienošanās): </w:t>
      </w:r>
    </w:p>
    <w:p w:rsidR="000D47B5" w:rsidRPr="000D47B5" w:rsidRDefault="000D47B5" w:rsidP="000D47B5">
      <w:pPr>
        <w:spacing w:after="0" w:line="240" w:lineRule="auto"/>
        <w:ind w:right="-766"/>
        <w:jc w:val="both"/>
        <w:rPr>
          <w:rFonts w:ascii="Times New Roman" w:eastAsia="Times New Roman" w:hAnsi="Times New Roman" w:cs="Times New Roman"/>
          <w:sz w:val="24"/>
          <w:szCs w:val="24"/>
        </w:rPr>
      </w:pPr>
    </w:p>
    <w:p w:rsidR="000D47B5" w:rsidRPr="000D47B5" w:rsidRDefault="000D47B5" w:rsidP="000D47B5">
      <w:pPr>
        <w:numPr>
          <w:ilvl w:val="0"/>
          <w:numId w:val="1"/>
        </w:numPr>
        <w:spacing w:after="0" w:line="240" w:lineRule="auto"/>
        <w:ind w:left="426" w:right="-766"/>
        <w:contextualSpacing/>
        <w:jc w:val="center"/>
        <w:rPr>
          <w:rFonts w:ascii="Times New Roman" w:eastAsia="Times New Roman" w:hAnsi="Times New Roman" w:cs="Times New Roman"/>
          <w:b/>
          <w:bCs/>
          <w:sz w:val="24"/>
          <w:szCs w:val="24"/>
        </w:rPr>
      </w:pPr>
      <w:r w:rsidRPr="000D47B5">
        <w:rPr>
          <w:rFonts w:ascii="Times New Roman" w:eastAsia="Times New Roman" w:hAnsi="Times New Roman" w:cs="Times New Roman"/>
          <w:b/>
          <w:bCs/>
          <w:sz w:val="24"/>
          <w:szCs w:val="24"/>
          <w:lang w:eastAsia="lv-LV"/>
        </w:rPr>
        <w:t>VIENOŠANĀS PRIEKŠMETS</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Ar Vienošanās parakstīšanu Piegādātājiem (Piegādātājs Nr.1, Piegādātājs Nr.2 un Piegādātājs Nr.3, atbilstoši Vienošanās 1.pielikumam), kuri piedāvājuši viszemāko cenu attiecīgajai iepirkuma priekšmeta daļai, tiek piešķirtas tiesības slēgt iepirkuma līgumu ar Pasūtītāju par </w:t>
      </w:r>
      <w:proofErr w:type="spellStart"/>
      <w:r w:rsidRPr="000D47B5">
        <w:rPr>
          <w:rFonts w:ascii="Times New Roman" w:eastAsia="Times New Roman" w:hAnsi="Times New Roman" w:cs="Times New Roman"/>
          <w:sz w:val="24"/>
          <w:szCs w:val="24"/>
          <w:lang w:eastAsia="lv-LV"/>
        </w:rPr>
        <w:t>kardioķirurģijas</w:t>
      </w:r>
      <w:proofErr w:type="spellEnd"/>
      <w:r w:rsidRPr="000D47B5">
        <w:rPr>
          <w:rFonts w:ascii="Times New Roman" w:eastAsia="Times New Roman" w:hAnsi="Times New Roman" w:cs="Times New Roman"/>
          <w:sz w:val="24"/>
          <w:szCs w:val="24"/>
          <w:lang w:eastAsia="lv-LV"/>
        </w:rPr>
        <w:t xml:space="preserve"> vienreizlietojamo medicīnisko tehnoloģiju piegādi (turpmāk– Prece), saskaņā ar Piegādātāja attiecīgajā iepirkuma priekšmeta daļā piedāvāto vienas vienības cenu.</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Gadījumā, ja Piegādātājs Nr.1, ar kuru noslēgts iepirkuma līgums, nespēj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sidRPr="000D47B5">
        <w:rPr>
          <w:rFonts w:ascii="Times New Roman" w:eastAsia="Times New Roman" w:hAnsi="Times New Roman" w:cs="Times New Roman"/>
          <w:sz w:val="24"/>
          <w:szCs w:val="24"/>
          <w:lang w:eastAsia="lv-LV"/>
        </w:rPr>
        <w:t>pasūta</w:t>
      </w:r>
      <w:proofErr w:type="spellEnd"/>
      <w:r w:rsidRPr="000D47B5">
        <w:rPr>
          <w:rFonts w:ascii="Times New Roman" w:eastAsia="Times New Roman" w:hAnsi="Times New Roman" w:cs="Times New Roman"/>
          <w:sz w:val="24"/>
          <w:szCs w:val="24"/>
          <w:lang w:eastAsia="lv-LV"/>
        </w:rPr>
        <w:t xml:space="preserve"> no nākamā Piegādātāja (Piegādātājs Nr.3 atbilstoši 1. pielikumam), kurš piedāvājis nākamo zemāko cenu.</w:t>
      </w:r>
    </w:p>
    <w:p w:rsidR="000D47B5" w:rsidRPr="000D47B5" w:rsidRDefault="000D47B5" w:rsidP="000D47B5">
      <w:pPr>
        <w:spacing w:after="0" w:line="240" w:lineRule="auto"/>
        <w:ind w:right="-766"/>
        <w:jc w:val="both"/>
        <w:rPr>
          <w:rFonts w:ascii="Times New Roman" w:eastAsia="Times New Roman" w:hAnsi="Times New Roman" w:cs="Times New Roman"/>
          <w:sz w:val="24"/>
          <w:szCs w:val="24"/>
        </w:rPr>
      </w:pPr>
    </w:p>
    <w:p w:rsidR="000D47B5" w:rsidRPr="000D47B5" w:rsidRDefault="000D47B5" w:rsidP="000D47B5">
      <w:pPr>
        <w:numPr>
          <w:ilvl w:val="0"/>
          <w:numId w:val="1"/>
        </w:numPr>
        <w:spacing w:after="0" w:line="240" w:lineRule="auto"/>
        <w:ind w:right="-766"/>
        <w:contextualSpacing/>
        <w:jc w:val="center"/>
        <w:rPr>
          <w:rFonts w:ascii="Times New Roman" w:eastAsia="Times New Roman" w:hAnsi="Times New Roman" w:cs="Times New Roman"/>
          <w:b/>
          <w:bCs/>
          <w:sz w:val="24"/>
          <w:szCs w:val="24"/>
          <w:lang w:eastAsia="lv-LV"/>
        </w:rPr>
      </w:pPr>
      <w:r w:rsidRPr="000D47B5">
        <w:rPr>
          <w:rFonts w:ascii="Times New Roman" w:eastAsia="Times New Roman" w:hAnsi="Times New Roman" w:cs="Times New Roman"/>
          <w:b/>
          <w:bCs/>
          <w:sz w:val="24"/>
          <w:szCs w:val="24"/>
          <w:lang w:eastAsia="lv-LV"/>
        </w:rPr>
        <w:t>VIENOŠANĀS SUMMA UN PREČU CENAS</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 xml:space="preserve">Vienošanās kopējā summa </w:t>
      </w:r>
      <w:r w:rsidR="00355B98">
        <w:rPr>
          <w:rFonts w:ascii="Times New Roman" w:eastAsia="Times New Roman" w:hAnsi="Times New Roman" w:cs="Times New Roman"/>
          <w:sz w:val="24"/>
          <w:szCs w:val="24"/>
          <w:lang w:eastAsia="lv-LV"/>
        </w:rPr>
        <w:t xml:space="preserve"> ir </w:t>
      </w:r>
      <w:r w:rsidR="00355B98" w:rsidRPr="00355B98">
        <w:rPr>
          <w:rFonts w:ascii="Times New Roman" w:eastAsia="Times New Roman" w:hAnsi="Times New Roman" w:cs="Times New Roman"/>
          <w:b/>
          <w:sz w:val="24"/>
          <w:szCs w:val="24"/>
          <w:lang w:eastAsia="lv-LV"/>
        </w:rPr>
        <w:t>2 000 000,00</w:t>
      </w:r>
      <w:r w:rsidR="00355B98">
        <w:rPr>
          <w:rFonts w:ascii="Times New Roman" w:eastAsia="Times New Roman" w:hAnsi="Times New Roman" w:cs="Times New Roman"/>
          <w:sz w:val="24"/>
          <w:szCs w:val="24"/>
          <w:lang w:eastAsia="lv-LV"/>
        </w:rPr>
        <w:t xml:space="preserve"> </w:t>
      </w:r>
      <w:r w:rsidRPr="000D47B5">
        <w:rPr>
          <w:rFonts w:ascii="Times New Roman" w:eastAsia="Times New Roman" w:hAnsi="Times New Roman" w:cs="Times New Roman"/>
          <w:b/>
          <w:bCs/>
          <w:sz w:val="24"/>
          <w:szCs w:val="24"/>
          <w:lang w:eastAsia="lv-LV"/>
        </w:rPr>
        <w:t xml:space="preserve">EUR </w:t>
      </w:r>
      <w:r w:rsidRPr="000D47B5">
        <w:rPr>
          <w:rFonts w:ascii="Times New Roman" w:eastAsia="Times New Roman" w:hAnsi="Times New Roman" w:cs="Times New Roman"/>
          <w:sz w:val="24"/>
          <w:szCs w:val="24"/>
          <w:lang w:eastAsia="lv-LV"/>
        </w:rPr>
        <w:t xml:space="preserve"> </w:t>
      </w:r>
      <w:r w:rsidRPr="000D47B5">
        <w:rPr>
          <w:rFonts w:ascii="Times New Roman" w:eastAsia="Times New Roman" w:hAnsi="Times New Roman" w:cs="Times New Roman"/>
          <w:sz w:val="24"/>
          <w:szCs w:val="24"/>
          <w:lang w:eastAsia="x-none"/>
        </w:rPr>
        <w:t>(</w:t>
      </w:r>
      <w:r w:rsidR="00355B98">
        <w:rPr>
          <w:rFonts w:ascii="Times New Roman" w:eastAsia="Times New Roman" w:hAnsi="Times New Roman" w:cs="Times New Roman"/>
          <w:sz w:val="24"/>
          <w:szCs w:val="24"/>
          <w:lang w:eastAsia="x-none"/>
        </w:rPr>
        <w:t>divi miljoni</w:t>
      </w:r>
      <w:r w:rsidRPr="000D47B5">
        <w:rPr>
          <w:rFonts w:ascii="Times New Roman" w:eastAsia="Times New Roman" w:hAnsi="Times New Roman" w:cs="Times New Roman"/>
          <w:sz w:val="24"/>
          <w:szCs w:val="24"/>
          <w:lang w:eastAsia="x-none"/>
        </w:rPr>
        <w:t xml:space="preserve"> </w:t>
      </w:r>
      <w:proofErr w:type="spellStart"/>
      <w:r w:rsidRPr="000D47B5">
        <w:rPr>
          <w:rFonts w:ascii="Times New Roman" w:eastAsia="Times New Roman" w:hAnsi="Times New Roman" w:cs="Times New Roman"/>
          <w:i/>
          <w:iCs/>
          <w:sz w:val="24"/>
          <w:szCs w:val="24"/>
          <w:lang w:eastAsia="x-none"/>
        </w:rPr>
        <w:t>euro</w:t>
      </w:r>
      <w:proofErr w:type="spellEnd"/>
      <w:r w:rsidRPr="000D47B5">
        <w:rPr>
          <w:rFonts w:ascii="Times New Roman" w:eastAsia="Times New Roman" w:hAnsi="Times New Roman" w:cs="Times New Roman"/>
          <w:sz w:val="24"/>
          <w:szCs w:val="24"/>
          <w:lang w:eastAsia="x-none"/>
        </w:rPr>
        <w:t xml:space="preserve"> un </w:t>
      </w:r>
      <w:r w:rsidR="00355B98">
        <w:rPr>
          <w:rFonts w:ascii="Times New Roman" w:eastAsia="Times New Roman" w:hAnsi="Times New Roman" w:cs="Times New Roman"/>
          <w:sz w:val="24"/>
          <w:szCs w:val="24"/>
          <w:lang w:eastAsia="x-none"/>
        </w:rPr>
        <w:t>00</w:t>
      </w:r>
      <w:r w:rsidRPr="000D47B5">
        <w:rPr>
          <w:rFonts w:ascii="Times New Roman" w:eastAsia="Times New Roman" w:hAnsi="Times New Roman" w:cs="Times New Roman"/>
          <w:sz w:val="24"/>
          <w:szCs w:val="24"/>
          <w:lang w:eastAsia="x-none"/>
        </w:rPr>
        <w:t xml:space="preserve"> centi</w:t>
      </w:r>
      <w:r w:rsidRPr="000D47B5">
        <w:rPr>
          <w:rFonts w:ascii="Times New Roman" w:eastAsia="Times New Roman" w:hAnsi="Times New Roman" w:cs="Times New Roman"/>
          <w:sz w:val="24"/>
          <w:szCs w:val="24"/>
          <w:lang w:eastAsia="lv-LV"/>
        </w:rPr>
        <w:t xml:space="preserve">) bez pievienotā vērtības nodokļa. </w:t>
      </w:r>
      <w:r w:rsidRPr="000D47B5">
        <w:rPr>
          <w:rFonts w:ascii="Times New Roman" w:eastAsia="Times New Roman" w:hAnsi="Times New Roman" w:cs="Times New Roman"/>
          <w:sz w:val="24"/>
          <w:szCs w:val="24"/>
          <w:lang w:eastAsia="x-none"/>
        </w:rPr>
        <w:t>Pievienotās vērtības nodoklis tiek aprēķināts un maksāts saskaņā ar Latvijas Republikā spēkā esošo pievienotās vērtības nodokļa likmi Preču piegādes brīdī.</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Vienošanās 1.pielikumā norādītās cenas ir maksimāli pieļaujamās cenas, par kurām Piegādātājs apņemas piegādāt Preci visā Vienošanās darbības laikā.</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Pasūtītājs līguma izpildes laikā iepērk tādu preču daudzumu, kāds nepieciešams tā darbības nodrošināšanai, Pasūtītājam nav pienākums iepirkt precīzi Līguma 1.pielikumā norādīto katras preču vienības apjomu, taču nepieciešamības gadījumā, Piegādātājam līdz Līguma darbības beigām jāpiegādā Preces par šī konkursa rezultātā noteiktajām līgumcenām.</w:t>
      </w:r>
    </w:p>
    <w:p w:rsidR="000D47B5" w:rsidRPr="000D47B5" w:rsidRDefault="000D47B5" w:rsidP="00355B98">
      <w:pPr>
        <w:spacing w:after="0" w:line="240" w:lineRule="auto"/>
        <w:ind w:right="-766"/>
        <w:contextualSpacing/>
        <w:jc w:val="both"/>
        <w:rPr>
          <w:rFonts w:ascii="Times New Roman" w:eastAsia="Times New Roman" w:hAnsi="Times New Roman" w:cs="Times New Roman"/>
          <w:sz w:val="24"/>
          <w:szCs w:val="24"/>
          <w:lang w:eastAsia="lv-LV"/>
        </w:rPr>
      </w:pPr>
    </w:p>
    <w:p w:rsidR="000D47B5" w:rsidRPr="000D47B5" w:rsidRDefault="000D47B5" w:rsidP="000D47B5">
      <w:pPr>
        <w:numPr>
          <w:ilvl w:val="0"/>
          <w:numId w:val="1"/>
        </w:numPr>
        <w:spacing w:after="0" w:line="240" w:lineRule="auto"/>
        <w:ind w:right="-766"/>
        <w:contextualSpacing/>
        <w:jc w:val="center"/>
        <w:rPr>
          <w:rFonts w:ascii="Times New Roman" w:eastAsia="Times New Roman" w:hAnsi="Times New Roman" w:cs="Times New Roman"/>
          <w:b/>
          <w:bCs/>
          <w:sz w:val="24"/>
          <w:szCs w:val="24"/>
          <w:lang w:eastAsia="lv-LV"/>
        </w:rPr>
      </w:pPr>
      <w:r w:rsidRPr="000D47B5">
        <w:rPr>
          <w:rFonts w:ascii="Times New Roman" w:eastAsia="Times New Roman" w:hAnsi="Times New Roman" w:cs="Times New Roman"/>
          <w:b/>
          <w:bCs/>
          <w:sz w:val="24"/>
          <w:szCs w:val="24"/>
          <w:lang w:eastAsia="lv-LV"/>
        </w:rPr>
        <w:t>VIENOŠANĀS DARBĪBAS LAIKS UN IZBEIGŠANAS KĀRTĪBA</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rPr>
        <w:t xml:space="preserve">Vienošanās stājas spēkā ar </w:t>
      </w:r>
      <w:r w:rsidR="00355B98">
        <w:rPr>
          <w:rFonts w:ascii="Times New Roman" w:eastAsia="Times New Roman" w:hAnsi="Times New Roman" w:cs="Times New Roman"/>
          <w:sz w:val="24"/>
          <w:szCs w:val="24"/>
        </w:rPr>
        <w:t>Vienošanās abpusējas parakstīšanas dienu</w:t>
      </w:r>
      <w:r w:rsidRPr="000D47B5">
        <w:rPr>
          <w:rFonts w:ascii="Times New Roman" w:eastAsia="Times New Roman" w:hAnsi="Times New Roman" w:cs="Times New Roman"/>
          <w:sz w:val="24"/>
          <w:szCs w:val="24"/>
        </w:rPr>
        <w:t xml:space="preserve"> un ir spēkā līdz Vienošanās noteikto Līdzēju saistību pilnīgai izpildei.</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rPr>
        <w:lastRenderedPageBreak/>
        <w:t xml:space="preserve">Vienošanās darbības termiņš ir </w:t>
      </w:r>
      <w:r w:rsidRPr="000D47B5">
        <w:rPr>
          <w:rFonts w:ascii="Times New Roman" w:eastAsia="Times New Roman" w:hAnsi="Times New Roman" w:cs="Times New Roman"/>
          <w:sz w:val="24"/>
          <w:szCs w:val="24"/>
          <w:lang w:eastAsia="lv-LV"/>
        </w:rPr>
        <w:t>no Vienošanās spēkā stāšanās dienas līdz īsākajam no šādiem termiņiem:</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līdz Vienošanās 2.1.punktā noteiktās summas izlietojumam;</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rPr>
        <w:t>24 (divdesmit četri) mēneši no Vienošanās spēkā stāšanās dienas.</w:t>
      </w:r>
    </w:p>
    <w:p w:rsidR="000D47B5" w:rsidRPr="000D47B5" w:rsidRDefault="000D47B5" w:rsidP="000D47B5">
      <w:pPr>
        <w:numPr>
          <w:ilvl w:val="2"/>
          <w:numId w:val="1"/>
        </w:numPr>
        <w:spacing w:after="0" w:line="240" w:lineRule="auto"/>
        <w:ind w:left="709" w:right="-766" w:hanging="709"/>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rPr>
        <w:t>Vienošanās var tikt izbeigta pirms termiņa:</w:t>
      </w:r>
    </w:p>
    <w:p w:rsidR="000D47B5" w:rsidRPr="000D47B5" w:rsidRDefault="000D47B5" w:rsidP="000D47B5">
      <w:pPr>
        <w:numPr>
          <w:ilvl w:val="2"/>
          <w:numId w:val="1"/>
        </w:numPr>
        <w:spacing w:after="0" w:line="240" w:lineRule="auto"/>
        <w:ind w:left="709" w:right="-766" w:hanging="709"/>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rPr>
        <w:t>Līdzējiem rakstiski vienojoties;</w:t>
      </w:r>
    </w:p>
    <w:p w:rsidR="000D47B5" w:rsidRPr="000D47B5" w:rsidRDefault="000D47B5" w:rsidP="000D47B5">
      <w:pPr>
        <w:numPr>
          <w:ilvl w:val="2"/>
          <w:numId w:val="1"/>
        </w:numPr>
        <w:spacing w:after="0" w:line="240" w:lineRule="auto"/>
        <w:ind w:left="709" w:right="-766" w:hanging="709"/>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Pēc viena Līdzēja iniciatīvas, iepriekš par to rakstiski brīdinot otru Līdzēju ne vēlāk kā 60 (sešdesmit) kalendārās dienas iepriekš.</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Līdzējam ir tiesības nekavējoties izbeigt Vienošanos, ja:</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Notikusi Līdzēja labprātīga vai piespiedu likvidācija;</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Pret Līdzēju uzsākta maksātnespējas procedūra.</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ar-SA"/>
        </w:rPr>
        <w:t>Izbeidzot Vienošanos, vienlaicīgi tiek izbeigti uz Vienošanās pamata noslēgtie piegādes līgumi.</w:t>
      </w:r>
    </w:p>
    <w:p w:rsidR="000D47B5" w:rsidRPr="000D47B5" w:rsidRDefault="000D47B5" w:rsidP="000D47B5">
      <w:pPr>
        <w:spacing w:after="0" w:line="240" w:lineRule="auto"/>
        <w:ind w:right="-766"/>
        <w:jc w:val="both"/>
        <w:rPr>
          <w:rFonts w:ascii="Times New Roman" w:eastAsia="Times New Roman" w:hAnsi="Times New Roman" w:cs="Times New Roman"/>
          <w:sz w:val="24"/>
          <w:szCs w:val="24"/>
        </w:rPr>
      </w:pPr>
    </w:p>
    <w:p w:rsidR="000D47B5" w:rsidRPr="000D47B5" w:rsidRDefault="000D47B5" w:rsidP="000D47B5">
      <w:pPr>
        <w:numPr>
          <w:ilvl w:val="0"/>
          <w:numId w:val="1"/>
        </w:numPr>
        <w:spacing w:after="0" w:line="240" w:lineRule="auto"/>
        <w:ind w:right="-766"/>
        <w:contextualSpacing/>
        <w:jc w:val="center"/>
        <w:rPr>
          <w:rFonts w:ascii="Times New Roman" w:eastAsia="Times New Roman" w:hAnsi="Times New Roman" w:cs="Times New Roman"/>
          <w:b/>
          <w:bCs/>
          <w:sz w:val="24"/>
          <w:szCs w:val="24"/>
          <w:lang w:eastAsia="lv-LV"/>
        </w:rPr>
      </w:pPr>
      <w:r w:rsidRPr="000D47B5">
        <w:rPr>
          <w:rFonts w:ascii="Times New Roman" w:eastAsia="Times New Roman" w:hAnsi="Times New Roman" w:cs="Times New Roman"/>
          <w:b/>
          <w:bCs/>
          <w:sz w:val="24"/>
          <w:szCs w:val="24"/>
          <w:lang w:eastAsia="lv-LV"/>
        </w:rPr>
        <w:t>PIEGĀDES LĪGUMU NOSLĒGŠANAS UN IZPILDES KĀRTĪBA</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Piegādes līgumu Pasūtītājs slēdz ar Piegādātājiem, saskaņā ar Vienošanās 1.pielikumu un tajā norādītājām cenām.</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Slēdzot Piegādes līgumu, Piegādātājs vienojas ar Pasūtītāju par Preču piegādēm, nosakot veidu, kādā Pasūtītājs pasūtīs Preces un termiņu – 2 (divu) nedēļu laikā no attiecīgā pasūtījuma saņemšanas dienas.</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Vienošanās 1.pielikumā noteikto Preces cenu. Ja arī Piegādātājs Nr.2 nespēj piegādāt nepieciešamās Preces, Pasūtītājs Preces </w:t>
      </w:r>
      <w:proofErr w:type="spellStart"/>
      <w:r w:rsidRPr="000D47B5">
        <w:rPr>
          <w:rFonts w:ascii="Times New Roman" w:eastAsia="Times New Roman" w:hAnsi="Times New Roman" w:cs="Times New Roman"/>
          <w:sz w:val="24"/>
          <w:szCs w:val="24"/>
          <w:lang w:eastAsia="lv-LV"/>
        </w:rPr>
        <w:t>pasūta</w:t>
      </w:r>
      <w:proofErr w:type="spellEnd"/>
      <w:r w:rsidRPr="000D47B5">
        <w:rPr>
          <w:rFonts w:ascii="Times New Roman" w:eastAsia="Times New Roman" w:hAnsi="Times New Roman" w:cs="Times New Roman"/>
          <w:sz w:val="24"/>
          <w:szCs w:val="24"/>
          <w:lang w:eastAsia="lv-LV"/>
        </w:rPr>
        <w:t xml:space="preserve"> no Piegādātāja Nr.3.</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sidRPr="000D47B5">
        <w:rPr>
          <w:rFonts w:ascii="Times New Roman" w:eastAsia="Times New Roman" w:hAnsi="Times New Roman" w:cs="Times New Roman"/>
          <w:sz w:val="24"/>
          <w:szCs w:val="24"/>
          <w:lang w:eastAsia="lv-LV"/>
        </w:rPr>
        <w:t>pasūta</w:t>
      </w:r>
      <w:proofErr w:type="spellEnd"/>
      <w:r w:rsidRPr="000D47B5">
        <w:rPr>
          <w:rFonts w:ascii="Times New Roman" w:eastAsia="Times New Roman" w:hAnsi="Times New Roman" w:cs="Times New Roman"/>
          <w:sz w:val="24"/>
          <w:szCs w:val="24"/>
          <w:lang w:eastAsia="lv-LV"/>
        </w:rPr>
        <w:t xml:space="preserve"> no Piegādātāja Nr.3.</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sidRPr="000D47B5">
        <w:rPr>
          <w:rFonts w:ascii="Times New Roman" w:eastAsia="Times New Roman" w:hAnsi="Times New Roman" w:cs="Times New Roman"/>
          <w:sz w:val="24"/>
          <w:szCs w:val="24"/>
          <w:lang w:eastAsia="lv-LV"/>
        </w:rPr>
        <w:t>pasūta</w:t>
      </w:r>
      <w:proofErr w:type="spellEnd"/>
      <w:r w:rsidRPr="000D47B5">
        <w:rPr>
          <w:rFonts w:ascii="Times New Roman" w:eastAsia="Times New Roman" w:hAnsi="Times New Roman" w:cs="Times New Roman"/>
          <w:sz w:val="24"/>
          <w:szCs w:val="24"/>
          <w:lang w:eastAsia="lv-LV"/>
        </w:rPr>
        <w:t xml:space="preserve"> no Piegādātāja Nr.3.</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Ja Piegādātājs nav ievērojis Vienošanās 4.4.-4.7. punktos noteikto, tam nav tiesības celt pretenzijas pret Pasūtītāju par nākamā Piegādātāja izvēli.</w:t>
      </w:r>
    </w:p>
    <w:p w:rsidR="000D47B5" w:rsidRPr="000D47B5" w:rsidRDefault="000D47B5" w:rsidP="000D47B5">
      <w:pPr>
        <w:spacing w:after="0" w:line="240" w:lineRule="auto"/>
        <w:ind w:right="-766"/>
        <w:jc w:val="both"/>
        <w:rPr>
          <w:rFonts w:ascii="Times New Roman" w:eastAsia="Times New Roman" w:hAnsi="Times New Roman" w:cs="Times New Roman"/>
          <w:sz w:val="24"/>
          <w:szCs w:val="24"/>
        </w:rPr>
      </w:pPr>
    </w:p>
    <w:p w:rsidR="000D47B5" w:rsidRPr="000D47B5" w:rsidRDefault="000D47B5" w:rsidP="000D47B5">
      <w:pPr>
        <w:numPr>
          <w:ilvl w:val="0"/>
          <w:numId w:val="1"/>
        </w:numPr>
        <w:spacing w:after="0" w:line="240" w:lineRule="auto"/>
        <w:ind w:left="284" w:right="-766"/>
        <w:contextualSpacing/>
        <w:jc w:val="center"/>
        <w:rPr>
          <w:rFonts w:ascii="Times New Roman" w:eastAsia="Times New Roman" w:hAnsi="Times New Roman" w:cs="Times New Roman"/>
          <w:b/>
          <w:bCs/>
          <w:sz w:val="24"/>
          <w:szCs w:val="24"/>
          <w:lang w:eastAsia="lv-LV"/>
        </w:rPr>
      </w:pPr>
      <w:r w:rsidRPr="000D47B5">
        <w:rPr>
          <w:rFonts w:ascii="Times New Roman" w:eastAsia="Times New Roman" w:hAnsi="Times New Roman" w:cs="Times New Roman"/>
          <w:b/>
          <w:bCs/>
          <w:sz w:val="24"/>
          <w:szCs w:val="24"/>
          <w:lang w:eastAsia="lv-LV"/>
        </w:rPr>
        <w:t>PUŠU SAISTĪBAS</w:t>
      </w:r>
    </w:p>
    <w:p w:rsidR="000D47B5" w:rsidRPr="000D47B5" w:rsidRDefault="000D47B5" w:rsidP="000D47B5">
      <w:pPr>
        <w:numPr>
          <w:ilvl w:val="1"/>
          <w:numId w:val="1"/>
        </w:numPr>
        <w:spacing w:after="0" w:line="240" w:lineRule="auto"/>
        <w:ind w:left="567" w:right="-766" w:hanging="567"/>
        <w:contextualSpacing/>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Piegādātāja saistības:</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Piegādātājs apņemas veikt Preču piegādi Pasūtītājam saskaņā ar Vienošanās un iepirkuma līguma noteikumiem;</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lastRenderedPageBreak/>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Piegādātājs Vienošanās darbības laikā ievēro Vienošanās 4.punktā noteikto iepirkumu līgumu izpildes kārtību.</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Pasūtītāja saistības:</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 xml:space="preserve">Pasūtītājs primāri </w:t>
      </w:r>
      <w:proofErr w:type="spellStart"/>
      <w:r w:rsidRPr="000D47B5">
        <w:rPr>
          <w:rFonts w:ascii="Times New Roman" w:eastAsia="Times New Roman" w:hAnsi="Times New Roman" w:cs="Times New Roman"/>
          <w:sz w:val="24"/>
          <w:szCs w:val="24"/>
          <w:lang w:eastAsia="lv-LV"/>
        </w:rPr>
        <w:t>pasūta</w:t>
      </w:r>
      <w:proofErr w:type="spellEnd"/>
      <w:r w:rsidRPr="000D47B5">
        <w:rPr>
          <w:rFonts w:ascii="Times New Roman" w:eastAsia="Times New Roman" w:hAnsi="Times New Roman" w:cs="Times New Roman"/>
          <w:sz w:val="24"/>
          <w:szCs w:val="24"/>
          <w:lang w:eastAsia="lv-LV"/>
        </w:rPr>
        <w:t xml:space="preserve"> Preces no Piegādātāja, kurš Vienošanās 1.pielikumā, attiecīgajā iepirkuma priekšmeta daļā ir norādīts kā Piegādātājs Nr.1;</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 xml:space="preserve">Ja Piegādātājs Nr.1 nevar piegādāt Preci, tad Pasūtītājs Preci </w:t>
      </w:r>
      <w:proofErr w:type="spellStart"/>
      <w:r w:rsidRPr="000D47B5">
        <w:rPr>
          <w:rFonts w:ascii="Times New Roman" w:eastAsia="Times New Roman" w:hAnsi="Times New Roman" w:cs="Times New Roman"/>
          <w:sz w:val="24"/>
          <w:szCs w:val="24"/>
          <w:lang w:eastAsia="lv-LV"/>
        </w:rPr>
        <w:t>pasūta</w:t>
      </w:r>
      <w:proofErr w:type="spellEnd"/>
      <w:r w:rsidRPr="000D47B5">
        <w:rPr>
          <w:rFonts w:ascii="Times New Roman" w:eastAsia="Times New Roman" w:hAnsi="Times New Roman" w:cs="Times New Roman"/>
          <w:sz w:val="24"/>
          <w:szCs w:val="24"/>
          <w:lang w:eastAsia="lv-LV"/>
        </w:rPr>
        <w:t xml:space="preserve"> no nākamā lētākā Piegādātāja;</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Pasūtītājs Vienošanās darbības laikā ievēro Vienošanās 4.punktā noteikto piegādes līgumu izpildes kārtību.</w:t>
      </w:r>
    </w:p>
    <w:p w:rsidR="000D47B5" w:rsidRPr="000D47B5" w:rsidRDefault="000D47B5" w:rsidP="000D47B5">
      <w:pPr>
        <w:spacing w:after="0" w:line="240" w:lineRule="auto"/>
        <w:ind w:right="-766"/>
        <w:jc w:val="both"/>
        <w:rPr>
          <w:rFonts w:ascii="Times New Roman" w:eastAsia="Times New Roman" w:hAnsi="Times New Roman" w:cs="Times New Roman"/>
          <w:sz w:val="24"/>
          <w:szCs w:val="24"/>
          <w:lang w:eastAsia="lv-LV"/>
        </w:rPr>
      </w:pPr>
    </w:p>
    <w:p w:rsidR="000D47B5" w:rsidRPr="000D47B5" w:rsidRDefault="000D47B5" w:rsidP="000D47B5">
      <w:pPr>
        <w:numPr>
          <w:ilvl w:val="0"/>
          <w:numId w:val="1"/>
        </w:numPr>
        <w:spacing w:after="0" w:line="240" w:lineRule="auto"/>
        <w:ind w:right="-766"/>
        <w:contextualSpacing/>
        <w:jc w:val="center"/>
        <w:rPr>
          <w:rFonts w:ascii="Times New Roman" w:eastAsia="Times New Roman" w:hAnsi="Times New Roman" w:cs="Times New Roman"/>
          <w:b/>
          <w:bCs/>
          <w:sz w:val="24"/>
          <w:szCs w:val="24"/>
          <w:lang w:eastAsia="lv-LV"/>
        </w:rPr>
      </w:pPr>
      <w:r w:rsidRPr="000D47B5">
        <w:rPr>
          <w:rFonts w:ascii="Times New Roman" w:eastAsia="Times New Roman" w:hAnsi="Times New Roman" w:cs="Times New Roman"/>
          <w:b/>
          <w:bCs/>
          <w:sz w:val="24"/>
          <w:szCs w:val="24"/>
          <w:lang w:eastAsia="lv-LV"/>
        </w:rPr>
        <w:t>VIENOŠANĀS NOTEIKUMU GROZĪŠANA UN VIENOŠANĀS IZBEIGŠANA</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Vienošanos var grozīt vai papildināt Pusēm </w:t>
      </w:r>
      <w:proofErr w:type="spellStart"/>
      <w:r w:rsidRPr="000D47B5">
        <w:rPr>
          <w:rFonts w:ascii="Times New Roman" w:eastAsia="Times New Roman" w:hAnsi="Times New Roman" w:cs="Times New Roman"/>
          <w:sz w:val="24"/>
          <w:szCs w:val="24"/>
          <w:lang w:eastAsia="lv-LV"/>
        </w:rPr>
        <w:t>rakstveidā</w:t>
      </w:r>
      <w:proofErr w:type="spellEnd"/>
      <w:r w:rsidRPr="000D47B5">
        <w:rPr>
          <w:rFonts w:ascii="Times New Roman" w:eastAsia="Times New Roman" w:hAnsi="Times New Roman" w:cs="Times New Roman"/>
          <w:sz w:val="24"/>
          <w:szCs w:val="24"/>
          <w:lang w:eastAsia="lv-LV"/>
        </w:rPr>
        <w:t xml:space="preserve"> vienojoties, pamatojoties uz Latvijas Republikas normatīvajiem aktiem un ievērojot Publisko iepirkumu likuma </w:t>
      </w:r>
      <w:r w:rsidR="007668A7">
        <w:rPr>
          <w:rFonts w:ascii="Times New Roman" w:eastAsia="Times New Roman" w:hAnsi="Times New Roman" w:cs="Times New Roman"/>
          <w:sz w:val="24"/>
          <w:szCs w:val="24"/>
          <w:lang w:eastAsia="lv-LV"/>
        </w:rPr>
        <w:t>61.</w:t>
      </w:r>
      <w:r w:rsidRPr="000D47B5">
        <w:rPr>
          <w:rFonts w:ascii="Times New Roman" w:eastAsia="Times New Roman" w:hAnsi="Times New Roman" w:cs="Times New Roman"/>
          <w:sz w:val="24"/>
          <w:szCs w:val="24"/>
          <w:lang w:eastAsia="lv-LV"/>
        </w:rPr>
        <w:t>pantā noteikto.</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Pasūtītājam ir tiesības vienpusēji atkāpties no Vienošanās (vai kādu no tās daļām), par to </w:t>
      </w:r>
      <w:proofErr w:type="spellStart"/>
      <w:r w:rsidRPr="000D47B5">
        <w:rPr>
          <w:rFonts w:ascii="Times New Roman" w:eastAsia="Times New Roman" w:hAnsi="Times New Roman" w:cs="Times New Roman"/>
          <w:sz w:val="24"/>
          <w:szCs w:val="24"/>
          <w:lang w:eastAsia="lv-LV"/>
        </w:rPr>
        <w:t>rakstveidā</w:t>
      </w:r>
      <w:proofErr w:type="spellEnd"/>
      <w:r w:rsidRPr="000D47B5">
        <w:rPr>
          <w:rFonts w:ascii="Times New Roman" w:eastAsia="Times New Roman" w:hAnsi="Times New Roman" w:cs="Times New Roman"/>
          <w:sz w:val="24"/>
          <w:szCs w:val="24"/>
          <w:lang w:eastAsia="lv-LV"/>
        </w:rPr>
        <w:t xml:space="preserve"> brīdinot Piegādātājus vismaz 5 (piecas) darba dienas iepriekš, ja Piegādātājs atsakās slēgt Piegādes līgumu.</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Pasūtītājam ir tiesības vienpusēji atkāpties no Vienošanās (vai kādas no tās daļām), par to </w:t>
      </w:r>
      <w:proofErr w:type="spellStart"/>
      <w:r w:rsidRPr="000D47B5">
        <w:rPr>
          <w:rFonts w:ascii="Times New Roman" w:eastAsia="Times New Roman" w:hAnsi="Times New Roman" w:cs="Times New Roman"/>
          <w:sz w:val="24"/>
          <w:szCs w:val="24"/>
          <w:lang w:eastAsia="lv-LV"/>
        </w:rPr>
        <w:t>rakstveidā</w:t>
      </w:r>
      <w:proofErr w:type="spellEnd"/>
      <w:r w:rsidRPr="000D47B5">
        <w:rPr>
          <w:rFonts w:ascii="Times New Roman" w:eastAsia="Times New Roman" w:hAnsi="Times New Roman" w:cs="Times New Roman"/>
          <w:sz w:val="24"/>
          <w:szCs w:val="24"/>
          <w:lang w:eastAsia="lv-LV"/>
        </w:rPr>
        <w:t xml:space="preserve"> brīdinot Piegādātājus vismaz vienu mēnesi iepriekš, ja:</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Pasūtītājam ir zudusi vajadzība pēc Vienošanās priekšmeta vai kādu no tās daļām;</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Piegādātājs apzināti sniedzis nepatiesu informāciju, nav ievērojis godīgas konkurences principus vai ar nolūku veicis citas prettiesiskas darbības;</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Piegādātājs Vienošanās darbības laikā nespēj nodrošināt atbilstošu piegādes līguma izpildi;</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rPr>
      </w:pPr>
      <w:r w:rsidRPr="000D47B5">
        <w:rPr>
          <w:rFonts w:ascii="Times New Roman" w:eastAsia="Calibri" w:hAnsi="Times New Roman" w:cs="Times New Roman"/>
          <w:sz w:val="24"/>
          <w:szCs w:val="24"/>
        </w:rPr>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Puses var izbeigt Vienošanos pirms tās darbības termiņa beigām, Pusēm savstarpēji </w:t>
      </w:r>
      <w:proofErr w:type="spellStart"/>
      <w:r w:rsidRPr="000D47B5">
        <w:rPr>
          <w:rFonts w:ascii="Times New Roman" w:eastAsia="Times New Roman" w:hAnsi="Times New Roman" w:cs="Times New Roman"/>
          <w:sz w:val="24"/>
          <w:szCs w:val="24"/>
          <w:lang w:eastAsia="lv-LV"/>
        </w:rPr>
        <w:t>rakstveidā</w:t>
      </w:r>
      <w:proofErr w:type="spellEnd"/>
      <w:r w:rsidRPr="000D47B5">
        <w:rPr>
          <w:rFonts w:ascii="Times New Roman" w:eastAsia="Times New Roman" w:hAnsi="Times New Roman" w:cs="Times New Roman"/>
          <w:sz w:val="24"/>
          <w:szCs w:val="24"/>
          <w:lang w:eastAsia="lv-LV"/>
        </w:rPr>
        <w:t xml:space="preserve"> par to vienojoties.</w:t>
      </w:r>
    </w:p>
    <w:p w:rsidR="000D47B5" w:rsidRPr="000D47B5" w:rsidRDefault="000D47B5" w:rsidP="000D47B5">
      <w:pPr>
        <w:spacing w:after="0" w:line="240" w:lineRule="auto"/>
        <w:ind w:right="-766"/>
        <w:jc w:val="both"/>
        <w:rPr>
          <w:rFonts w:ascii="Times New Roman" w:eastAsia="Times New Roman" w:hAnsi="Times New Roman" w:cs="Times New Roman"/>
          <w:sz w:val="24"/>
          <w:szCs w:val="24"/>
        </w:rPr>
      </w:pPr>
    </w:p>
    <w:p w:rsidR="000D47B5" w:rsidRPr="000D47B5" w:rsidRDefault="000D47B5" w:rsidP="000D47B5">
      <w:pPr>
        <w:numPr>
          <w:ilvl w:val="0"/>
          <w:numId w:val="1"/>
        </w:numPr>
        <w:spacing w:after="0" w:line="240" w:lineRule="auto"/>
        <w:ind w:right="-766"/>
        <w:contextualSpacing/>
        <w:jc w:val="center"/>
        <w:rPr>
          <w:rFonts w:ascii="Times New Roman" w:eastAsia="Times New Roman" w:hAnsi="Times New Roman" w:cs="Times New Roman"/>
          <w:b/>
          <w:bCs/>
          <w:sz w:val="24"/>
          <w:szCs w:val="24"/>
        </w:rPr>
      </w:pPr>
      <w:r w:rsidRPr="000D47B5">
        <w:rPr>
          <w:rFonts w:ascii="Times New Roman" w:eastAsia="Times New Roman" w:hAnsi="Times New Roman" w:cs="Times New Roman"/>
          <w:b/>
          <w:bCs/>
          <w:sz w:val="24"/>
          <w:szCs w:val="24"/>
        </w:rPr>
        <w:t>STRĪDU RISINĀŠANAS KĀRTĪBA</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Jebkurš strīds, domstarpība vai prasība, kas izriet no šīs Vienošanās, kas skar to vai tā pārkāpšanu, izbeigšanu vai spēkā neesamību tiek risināts Līdzēju savstarpējās sarunās.</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No Vienošanās izrietošās saistības ir apspriežamas atbilstoši Latvijas Republikas normatīvajiem aktiem.</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Ja 30 (trīsdesmit) kalendāro dienu laikā strīdu nav iespējams atrisināt sarunu ceļā, tas tiek risināts Latvijas Republikas tiesā saskaņā ar spēkā esošajiem normatīvajiem aktiem.</w:t>
      </w:r>
    </w:p>
    <w:p w:rsid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Jautājumi, kas nav atrunāti Vienošanā, tiek apspriesti un risināti saskaņā ar Latvijas Republikas normatīvajiem aktiem.</w:t>
      </w:r>
    </w:p>
    <w:p w:rsidR="007668A7" w:rsidRPr="000D47B5" w:rsidRDefault="007668A7" w:rsidP="007668A7">
      <w:pPr>
        <w:spacing w:after="0" w:line="240" w:lineRule="auto"/>
        <w:ind w:left="567" w:right="-766"/>
        <w:contextualSpacing/>
        <w:jc w:val="both"/>
        <w:rPr>
          <w:rFonts w:ascii="Times New Roman" w:eastAsia="Times New Roman" w:hAnsi="Times New Roman" w:cs="Times New Roman"/>
          <w:sz w:val="24"/>
          <w:szCs w:val="24"/>
        </w:rPr>
      </w:pPr>
    </w:p>
    <w:p w:rsidR="000D47B5" w:rsidRPr="000D47B5" w:rsidRDefault="000D47B5" w:rsidP="000D47B5">
      <w:pPr>
        <w:numPr>
          <w:ilvl w:val="0"/>
          <w:numId w:val="1"/>
        </w:numPr>
        <w:spacing w:after="0" w:line="240" w:lineRule="auto"/>
        <w:ind w:right="-766"/>
        <w:contextualSpacing/>
        <w:jc w:val="center"/>
        <w:rPr>
          <w:rFonts w:ascii="Times New Roman" w:eastAsia="Times New Roman" w:hAnsi="Times New Roman" w:cs="Times New Roman"/>
          <w:b/>
          <w:bCs/>
          <w:sz w:val="24"/>
          <w:szCs w:val="24"/>
        </w:rPr>
      </w:pPr>
      <w:r w:rsidRPr="000D47B5">
        <w:rPr>
          <w:rFonts w:ascii="Times New Roman" w:eastAsia="Times New Roman" w:hAnsi="Times New Roman" w:cs="Times New Roman"/>
          <w:b/>
          <w:bCs/>
          <w:sz w:val="24"/>
          <w:szCs w:val="24"/>
        </w:rPr>
        <w:t>NEPĀRVARAMA VARA</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Calibri" w:hAnsi="Times New Roman" w:cs="Times New Roman"/>
          <w:sz w:val="24"/>
          <w:szCs w:val="24"/>
          <w:lang w:eastAsia="lv-LV"/>
        </w:rPr>
        <w:t xml:space="preserve">Līdzēji tiek atbrīvoti no atbildības par pilnīgu vai daļēju līgumā paredzēto saistību neizpildi, ja šāda neizpilde ir notikusi nepārvaramas varas apstākļu iestāšanās rezultātā pēc līguma spēkā stāšanās dienas, kuru nebija iespējams ne paredzēt, ne novērst. Šāda </w:t>
      </w:r>
      <w:r w:rsidRPr="000D47B5">
        <w:rPr>
          <w:rFonts w:ascii="Times New Roman" w:eastAsia="Calibri" w:hAnsi="Times New Roman" w:cs="Times New Roman"/>
          <w:sz w:val="24"/>
          <w:szCs w:val="24"/>
          <w:lang w:eastAsia="lv-LV"/>
        </w:rPr>
        <w:lastRenderedPageBreak/>
        <w:t>nepārvarama vara ietver sevī notikumus, kuri iziet ārpus Līdzēju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0D47B5">
        <w:rPr>
          <w:rFonts w:ascii="Times New Roman" w:eastAsia="Times New Roman" w:hAnsi="Times New Roman" w:cs="Times New Roman"/>
          <w:snapToGrid w:val="0"/>
          <w:sz w:val="24"/>
          <w:szCs w:val="24"/>
          <w:lang w:eastAsia="lv-LV"/>
        </w:rPr>
        <w:t>.</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kern w:val="28"/>
          <w:sz w:val="24"/>
          <w:szCs w:val="24"/>
          <w:lang w:eastAsia="lv-LV"/>
        </w:rPr>
        <w:t>Par nepārvaramas varas apstākli nevar tikt atzīts Piegādātāja un citu iesaistīto personu saistību neizpilde vai nesavlaicīga izpilde</w:t>
      </w:r>
      <w:r w:rsidRPr="000D47B5">
        <w:rPr>
          <w:rFonts w:ascii="Times New Roman" w:eastAsia="Times New Roman" w:hAnsi="Times New Roman" w:cs="Times New Roman"/>
          <w:snapToGrid w:val="0"/>
          <w:sz w:val="24"/>
          <w:szCs w:val="24"/>
          <w:lang w:eastAsia="lv-LV"/>
        </w:rPr>
        <w:t>.</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Calibri" w:hAnsi="Times New Roman" w:cs="Times New Roman"/>
          <w:sz w:val="24"/>
          <w:szCs w:val="24"/>
          <w:lang w:eastAsia="lv-LV"/>
        </w:rPr>
        <w:t>Līdzējs, kurš nokļuvis nepārvaramas varas apstākļos, nekavējoties, bet ne vēlāk kā 3 (trīs) darba dienu laikā pēc nepārvaramas varas apstākļu iestāšanās dienas, rakstiski jāinformē par to otru Līdzēju un, ja tas ir iespējams, ziņojumam jāpievieno izziņa, kuru izsniegušas kompetentas iestādes un kura satur nepārvaramas varas apstākļu apstiprinājumu un raksturojumu</w:t>
      </w:r>
      <w:r w:rsidRPr="000D47B5">
        <w:rPr>
          <w:rFonts w:ascii="Times New Roman" w:eastAsia="Times New Roman" w:hAnsi="Times New Roman" w:cs="Times New Roman"/>
          <w:snapToGrid w:val="0"/>
          <w:sz w:val="24"/>
          <w:szCs w:val="24"/>
          <w:lang w:eastAsia="lv-LV"/>
        </w:rPr>
        <w:t>.</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iCs/>
          <w:kern w:val="56"/>
          <w:sz w:val="24"/>
          <w:szCs w:val="24"/>
          <w:lang w:eastAsia="lv-LV"/>
        </w:rPr>
        <w:t xml:space="preserve">Ar rakstisku vienošanos </w:t>
      </w:r>
      <w:r w:rsidRPr="000D47B5">
        <w:rPr>
          <w:rFonts w:ascii="Times New Roman" w:eastAsia="Times New Roman" w:hAnsi="Times New Roman" w:cs="Times New Roman"/>
          <w:bCs/>
          <w:iCs/>
          <w:kern w:val="56"/>
          <w:sz w:val="24"/>
          <w:szCs w:val="24"/>
          <w:lang w:eastAsia="lv-LV"/>
        </w:rPr>
        <w:t>Līdzēji</w:t>
      </w:r>
      <w:r w:rsidRPr="000D47B5">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0D47B5">
        <w:rPr>
          <w:rFonts w:ascii="Times New Roman" w:eastAsia="Times New Roman" w:hAnsi="Times New Roman" w:cs="Times New Roman"/>
          <w:bCs/>
          <w:iCs/>
          <w:kern w:val="56"/>
          <w:sz w:val="24"/>
          <w:szCs w:val="24"/>
          <w:lang w:eastAsia="lv-LV"/>
        </w:rPr>
        <w:t>Līdzēji</w:t>
      </w:r>
      <w:r w:rsidRPr="000D47B5">
        <w:rPr>
          <w:rFonts w:ascii="Times New Roman" w:eastAsia="Times New Roman" w:hAnsi="Times New Roman" w:cs="Times New Roman"/>
          <w:b/>
          <w:bCs/>
          <w:iCs/>
          <w:kern w:val="56"/>
          <w:sz w:val="24"/>
          <w:szCs w:val="24"/>
          <w:lang w:eastAsia="lv-LV"/>
        </w:rPr>
        <w:t xml:space="preserve"> </w:t>
      </w:r>
      <w:r w:rsidRPr="000D47B5">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Līdzēji ir tiesīgi atteikties no Līguma izpildes. Līguma izbeigšanas gadījumā katram </w:t>
      </w:r>
      <w:r w:rsidRPr="000D47B5">
        <w:rPr>
          <w:rFonts w:ascii="Times New Roman" w:eastAsia="Times New Roman" w:hAnsi="Times New Roman" w:cs="Times New Roman"/>
          <w:bCs/>
          <w:iCs/>
          <w:kern w:val="56"/>
          <w:sz w:val="24"/>
          <w:szCs w:val="24"/>
          <w:lang w:eastAsia="lv-LV"/>
        </w:rPr>
        <w:t xml:space="preserve">Līdzējam </w:t>
      </w:r>
      <w:r w:rsidRPr="000D47B5">
        <w:rPr>
          <w:rFonts w:ascii="Times New Roman" w:eastAsia="Times New Roman" w:hAnsi="Times New Roman" w:cs="Times New Roman"/>
          <w:iCs/>
          <w:kern w:val="56"/>
          <w:sz w:val="24"/>
          <w:szCs w:val="24"/>
          <w:lang w:eastAsia="lv-LV"/>
        </w:rPr>
        <w:t>ir jāatdod otram tas, ko tas izpildījis vai par izpildīto jāatlīdzina.</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Calibri" w:hAnsi="Times New Roman" w:cs="Times New Roman"/>
          <w:sz w:val="24"/>
          <w:szCs w:val="24"/>
          <w:lang w:eastAsia="lv-LV"/>
        </w:rPr>
        <w:t>Par zaudējumiem, kas radušies nepārvaramas varas apstākļu dēļ, neviens no Līdzējiem atbildību nenes, ja abi Līdzēji ir informēti atbilstoši 8.3.punktam.</w:t>
      </w:r>
    </w:p>
    <w:p w:rsidR="000D47B5" w:rsidRPr="000D47B5" w:rsidRDefault="000D47B5" w:rsidP="000D47B5">
      <w:pPr>
        <w:spacing w:after="0" w:line="240" w:lineRule="auto"/>
        <w:ind w:left="567" w:right="-766"/>
        <w:contextualSpacing/>
        <w:jc w:val="both"/>
        <w:rPr>
          <w:rFonts w:ascii="Times New Roman" w:eastAsia="Times New Roman" w:hAnsi="Times New Roman" w:cs="Times New Roman"/>
          <w:sz w:val="24"/>
          <w:szCs w:val="24"/>
        </w:rPr>
      </w:pPr>
    </w:p>
    <w:p w:rsidR="000D47B5" w:rsidRPr="000D47B5" w:rsidRDefault="000D47B5" w:rsidP="000D47B5">
      <w:pPr>
        <w:numPr>
          <w:ilvl w:val="0"/>
          <w:numId w:val="1"/>
        </w:numPr>
        <w:spacing w:after="120" w:line="240" w:lineRule="auto"/>
        <w:ind w:left="426" w:right="-766"/>
        <w:contextualSpacing/>
        <w:jc w:val="center"/>
        <w:rPr>
          <w:rFonts w:ascii="Times New Roman" w:eastAsia="Times New Roman" w:hAnsi="Times New Roman" w:cs="Times New Roman"/>
          <w:b/>
          <w:bCs/>
          <w:sz w:val="24"/>
          <w:szCs w:val="24"/>
        </w:rPr>
      </w:pPr>
      <w:r w:rsidRPr="000D47B5">
        <w:rPr>
          <w:rFonts w:ascii="Times New Roman" w:eastAsia="Times New Roman" w:hAnsi="Times New Roman" w:cs="Times New Roman"/>
          <w:b/>
          <w:bCs/>
          <w:sz w:val="24"/>
          <w:szCs w:val="24"/>
        </w:rPr>
        <w:t>CITI NOTEIKUMI</w:t>
      </w:r>
    </w:p>
    <w:p w:rsidR="000D47B5" w:rsidRPr="000D47B5" w:rsidRDefault="000D47B5" w:rsidP="000D47B5">
      <w:pPr>
        <w:numPr>
          <w:ilvl w:val="1"/>
          <w:numId w:val="1"/>
        </w:numPr>
        <w:spacing w:after="12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Vienošanās ir saistoša pusēm un to saistību un tiesību pārņēmējiem.</w:t>
      </w:r>
    </w:p>
    <w:p w:rsidR="000D47B5" w:rsidRPr="000D47B5" w:rsidRDefault="000D47B5" w:rsidP="000D47B5">
      <w:pPr>
        <w:numPr>
          <w:ilvl w:val="1"/>
          <w:numId w:val="1"/>
        </w:numPr>
        <w:spacing w:after="12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Kādam no šīs Vienošanās  noteikumiem zaudējot spēku normatīvo aktu grozījumu gadījumā, šis Līgums nezaudē spēku tā pārējos punktos, un šajā gadījumā Līdzēju</w:t>
      </w:r>
      <w:r w:rsidRPr="000D47B5">
        <w:rPr>
          <w:rFonts w:ascii="Times New Roman" w:eastAsia="Times New Roman" w:hAnsi="Times New Roman" w:cs="Times New Roman"/>
          <w:i/>
          <w:sz w:val="24"/>
          <w:szCs w:val="24"/>
          <w:lang w:eastAsia="lv-LV"/>
        </w:rPr>
        <w:t xml:space="preserve"> </w:t>
      </w:r>
      <w:r w:rsidRPr="000D47B5">
        <w:rPr>
          <w:rFonts w:ascii="Times New Roman" w:eastAsia="Times New Roman" w:hAnsi="Times New Roman" w:cs="Times New Roman"/>
          <w:sz w:val="24"/>
          <w:szCs w:val="24"/>
          <w:lang w:eastAsia="lv-LV"/>
        </w:rPr>
        <w:t>pienākums ir piemērot šo Līgumu atbilstoši spēkā esošajiem normatīvajiem aktiem.</w:t>
      </w:r>
    </w:p>
    <w:p w:rsidR="000D47B5" w:rsidRPr="000D47B5" w:rsidRDefault="000D47B5" w:rsidP="000D47B5">
      <w:pPr>
        <w:numPr>
          <w:ilvl w:val="1"/>
          <w:numId w:val="1"/>
        </w:numPr>
        <w:spacing w:after="12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val="x-none" w:eastAsia="lv-LV"/>
        </w:rPr>
        <w:t>Ja</w:t>
      </w:r>
      <w:r w:rsidRPr="000D47B5">
        <w:rPr>
          <w:rFonts w:ascii="Times New Roman" w:eastAsia="Times New Roman" w:hAnsi="Times New Roman" w:cs="Times New Roman"/>
          <w:sz w:val="24"/>
          <w:szCs w:val="24"/>
          <w:lang w:val="x-none" w:eastAsia="x-none"/>
        </w:rPr>
        <w:t xml:space="preserve"> kāds no Vieno</w:t>
      </w:r>
      <w:r w:rsidRPr="000D47B5">
        <w:rPr>
          <w:rFonts w:ascii="Times New Roman" w:eastAsia="Times New Roman" w:hAnsi="Times New Roman" w:cs="Times New Roman"/>
          <w:sz w:val="24"/>
          <w:szCs w:val="24"/>
          <w:lang w:eastAsia="x-none"/>
        </w:rPr>
        <w:t>šanās</w:t>
      </w:r>
      <w:r w:rsidRPr="000D47B5">
        <w:rPr>
          <w:rFonts w:ascii="Times New Roman" w:eastAsia="Times New Roman" w:hAnsi="Times New Roman" w:cs="Times New Roman"/>
          <w:sz w:val="24"/>
          <w:szCs w:val="24"/>
          <w:lang w:val="x-none" w:eastAsia="x-none"/>
        </w:rPr>
        <w:t xml:space="preserve"> vai tā pielikumos norādītajiem normatīvajiem aktiem zaudē spēku un to vietā tiek pieņemts jauns normatīvais akts, kurš regulē tos pašus jautājumus, kurus regulēja spēku zaudējušais akts, </w:t>
      </w:r>
      <w:r w:rsidRPr="000D47B5">
        <w:rPr>
          <w:rFonts w:ascii="Times New Roman" w:eastAsia="Times New Roman" w:hAnsi="Times New Roman" w:cs="Times New Roman"/>
          <w:sz w:val="24"/>
          <w:szCs w:val="24"/>
          <w:lang w:eastAsia="x-none"/>
        </w:rPr>
        <w:t xml:space="preserve">tad </w:t>
      </w:r>
      <w:r w:rsidRPr="000D47B5">
        <w:rPr>
          <w:rFonts w:ascii="Times New Roman" w:eastAsia="Times New Roman" w:hAnsi="Times New Roman" w:cs="Times New Roman"/>
          <w:sz w:val="24"/>
          <w:szCs w:val="24"/>
          <w:lang w:val="x-none" w:eastAsia="x-none"/>
        </w:rPr>
        <w:t>piemēro jauno, spēkā esošo normatīvo aktu</w:t>
      </w:r>
      <w:r w:rsidRPr="000D47B5">
        <w:rPr>
          <w:rFonts w:ascii="Times New Roman" w:eastAsia="Times New Roman" w:hAnsi="Times New Roman" w:cs="Times New Roman"/>
          <w:sz w:val="24"/>
          <w:szCs w:val="24"/>
          <w:lang w:eastAsia="x-none"/>
        </w:rPr>
        <w:t xml:space="preserve"> no tā spēkā stāšanās dienas.</w:t>
      </w:r>
    </w:p>
    <w:p w:rsidR="000D47B5" w:rsidRPr="000D47B5" w:rsidRDefault="000D47B5" w:rsidP="000D47B5">
      <w:pPr>
        <w:numPr>
          <w:ilvl w:val="1"/>
          <w:numId w:val="1"/>
        </w:numPr>
        <w:spacing w:after="12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Ja kādam no Līdzējiem tiek mainīts juridiskais statuss vai kādi šajā Vienošanās minētie Līdzēju rekvizīti, tālruņa, faksa numuri, adreses, u.c., tad tā nekavējoties rakstiski paziņo par to otram Līdzējam. Ja Līdzējs neizpilda šī punkta noteikumus, uzskatāms, ka otrs Līdzējs ir pilnībā izpildījis savas saistības, lietojot šajā Vienošanās esošo informāciju par otru Līdzēju.</w:t>
      </w:r>
    </w:p>
    <w:p w:rsidR="000D47B5" w:rsidRPr="000D47B5" w:rsidRDefault="000D47B5" w:rsidP="000D47B5">
      <w:pPr>
        <w:numPr>
          <w:ilvl w:val="1"/>
          <w:numId w:val="1"/>
        </w:numPr>
        <w:spacing w:after="12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Piegādātājam nav tiesību nodot saistības un/ vai tiesības par šo Vienošanos trešajām personām, bez Pasūtītāja iepriekšējas rakstiskas piekrišanas saņemšanas.</w:t>
      </w:r>
    </w:p>
    <w:p w:rsidR="000D47B5" w:rsidRPr="000D47B5" w:rsidRDefault="000D47B5" w:rsidP="000D47B5">
      <w:pPr>
        <w:numPr>
          <w:ilvl w:val="1"/>
          <w:numId w:val="1"/>
        </w:numPr>
        <w:spacing w:after="12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rsidR="000D47B5" w:rsidRPr="00DE2A6E" w:rsidRDefault="00E52CBD" w:rsidP="000D47B5">
      <w:pPr>
        <w:numPr>
          <w:ilvl w:val="1"/>
          <w:numId w:val="1"/>
        </w:numPr>
        <w:spacing w:after="120" w:line="240" w:lineRule="auto"/>
        <w:ind w:left="567" w:right="-766" w:hanging="567"/>
        <w:contextualSpacing/>
        <w:jc w:val="both"/>
        <w:rPr>
          <w:rFonts w:ascii="Times New Roman" w:eastAsia="Times New Roman" w:hAnsi="Times New Roman" w:cs="Times New Roman"/>
          <w:sz w:val="24"/>
          <w:szCs w:val="24"/>
        </w:rPr>
      </w:pPr>
      <w:r w:rsidRPr="00E52CBD">
        <w:rPr>
          <w:rFonts w:ascii="Times New Roman" w:eastAsia="Times New Roman" w:hAnsi="Times New Roman" w:cs="Times New Roman"/>
          <w:sz w:val="24"/>
          <w:szCs w:val="24"/>
        </w:rPr>
        <w:t xml:space="preserve">Vienošanās sagatavota divos vienādos eksemplāros latviešu valodā. Katrs Vienošanās eksemplārs sagatavots uz </w:t>
      </w:r>
      <w:r>
        <w:rPr>
          <w:rFonts w:ascii="Times New Roman" w:eastAsia="Times New Roman" w:hAnsi="Times New Roman" w:cs="Times New Roman"/>
          <w:sz w:val="24"/>
          <w:szCs w:val="24"/>
        </w:rPr>
        <w:t>6 (sešām</w:t>
      </w:r>
      <w:r w:rsidRPr="00E52CBD">
        <w:rPr>
          <w:rFonts w:ascii="Times New Roman" w:eastAsia="Times New Roman" w:hAnsi="Times New Roman" w:cs="Times New Roman"/>
          <w:sz w:val="24"/>
          <w:szCs w:val="24"/>
        </w:rPr>
        <w:t>) lapām. Viens Vienošanās eksemplārs glabājas pie Pasūtītāja, bet otrs pie Piegādātājs. Abiem Vienošanās eksemplāriem ir vienāds juridiskais spēks</w:t>
      </w:r>
      <w:r w:rsidR="000D47B5" w:rsidRPr="000D47B5">
        <w:rPr>
          <w:rFonts w:ascii="Times New Roman" w:eastAsia="Times New Roman" w:hAnsi="Times New Roman" w:cs="Times New Roman"/>
          <w:snapToGrid w:val="0"/>
          <w:sz w:val="24"/>
          <w:szCs w:val="24"/>
          <w:lang w:eastAsia="lv-LV"/>
        </w:rPr>
        <w:t>.</w:t>
      </w:r>
    </w:p>
    <w:p w:rsidR="00DE2A6E" w:rsidRDefault="00DE2A6E" w:rsidP="00DE2A6E">
      <w:pPr>
        <w:numPr>
          <w:ilvl w:val="1"/>
          <w:numId w:val="1"/>
        </w:numPr>
        <w:spacing w:after="0" w:line="240" w:lineRule="auto"/>
        <w:ind w:left="567" w:right="-765" w:hanging="567"/>
        <w:contextualSpacing/>
        <w:jc w:val="both"/>
        <w:rPr>
          <w:rFonts w:ascii="Times New Roman" w:eastAsia="Times New Roman" w:hAnsi="Times New Roman" w:cs="Times New Roman"/>
          <w:sz w:val="24"/>
          <w:szCs w:val="24"/>
        </w:rPr>
      </w:pPr>
      <w:r w:rsidRPr="00DE2A6E">
        <w:rPr>
          <w:rFonts w:ascii="Times New Roman" w:eastAsia="Times New Roman" w:hAnsi="Times New Roman" w:cs="Times New Roman"/>
          <w:sz w:val="24"/>
          <w:szCs w:val="24"/>
        </w:rPr>
        <w:t>Vienošanai tā noslēgšanas brīdī tiek pievienoti šādi pielikumi, kas ir neatņemamas tā sastāvdaļas:</w:t>
      </w:r>
    </w:p>
    <w:p w:rsidR="00DE2A6E" w:rsidRDefault="00DE2A6E" w:rsidP="00DE2A6E">
      <w:pPr>
        <w:pStyle w:val="ListParagraph"/>
        <w:numPr>
          <w:ilvl w:val="2"/>
          <w:numId w:val="1"/>
        </w:numPr>
        <w:spacing w:after="0" w:line="240" w:lineRule="auto"/>
        <w:ind w:right="-7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piegādātāju saraksts</w:t>
      </w:r>
      <w:r w:rsidR="009011C4">
        <w:rPr>
          <w:rFonts w:ascii="Times New Roman" w:eastAsia="Times New Roman" w:hAnsi="Times New Roman" w:cs="Times New Roman"/>
          <w:sz w:val="24"/>
          <w:szCs w:val="24"/>
        </w:rPr>
        <w:t xml:space="preserve"> uz 2 lapām;</w:t>
      </w:r>
    </w:p>
    <w:p w:rsidR="00DE2A6E" w:rsidRPr="00DE2A6E" w:rsidRDefault="000325F9" w:rsidP="00DE2A6E">
      <w:pPr>
        <w:pStyle w:val="ListParagraph"/>
        <w:numPr>
          <w:ilvl w:val="2"/>
          <w:numId w:val="1"/>
        </w:numPr>
        <w:spacing w:after="0" w:line="240" w:lineRule="auto"/>
        <w:ind w:right="-7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noslēgtie </w:t>
      </w:r>
      <w:r w:rsidR="00DE2A6E">
        <w:rPr>
          <w:rFonts w:ascii="Times New Roman" w:eastAsia="Times New Roman" w:hAnsi="Times New Roman" w:cs="Times New Roman"/>
          <w:sz w:val="24"/>
          <w:szCs w:val="24"/>
        </w:rPr>
        <w:t>piegādes līgumi</w:t>
      </w:r>
      <w:r>
        <w:rPr>
          <w:rFonts w:ascii="Times New Roman" w:eastAsia="Times New Roman" w:hAnsi="Times New Roman" w:cs="Times New Roman"/>
          <w:sz w:val="24"/>
          <w:szCs w:val="24"/>
        </w:rPr>
        <w:t>.</w:t>
      </w:r>
      <w:r w:rsidR="00DE2A6E">
        <w:rPr>
          <w:rFonts w:ascii="Times New Roman" w:eastAsia="Times New Roman" w:hAnsi="Times New Roman" w:cs="Times New Roman"/>
          <w:sz w:val="24"/>
          <w:szCs w:val="24"/>
        </w:rPr>
        <w:t xml:space="preserve"> </w:t>
      </w:r>
    </w:p>
    <w:p w:rsidR="00DE2A6E" w:rsidRDefault="00DE2A6E" w:rsidP="00DE2A6E">
      <w:pPr>
        <w:spacing w:after="0" w:line="240" w:lineRule="auto"/>
        <w:rPr>
          <w:rFonts w:ascii="Times New Roman" w:eastAsia="Times New Roman" w:hAnsi="Times New Roman" w:cs="Times New Roman"/>
          <w:b/>
          <w:bCs/>
          <w:sz w:val="24"/>
          <w:szCs w:val="24"/>
          <w:lang w:eastAsia="lv-LV"/>
        </w:rPr>
      </w:pPr>
    </w:p>
    <w:p w:rsidR="00493E93" w:rsidRPr="00DE110D" w:rsidRDefault="000D47B5" w:rsidP="00DE110D">
      <w:pPr>
        <w:spacing w:after="0" w:line="240" w:lineRule="auto"/>
        <w:jc w:val="center"/>
        <w:rPr>
          <w:rFonts w:ascii="Times New Roman" w:eastAsia="Times New Roman" w:hAnsi="Times New Roman" w:cs="Times New Roman"/>
          <w:b/>
          <w:bCs/>
          <w:sz w:val="23"/>
          <w:szCs w:val="23"/>
          <w:lang w:eastAsia="lv-LV"/>
        </w:rPr>
      </w:pPr>
      <w:r w:rsidRPr="000D47B5">
        <w:rPr>
          <w:rFonts w:ascii="Times New Roman" w:eastAsia="Times New Roman" w:hAnsi="Times New Roman" w:cs="Times New Roman"/>
          <w:b/>
          <w:bCs/>
          <w:sz w:val="24"/>
          <w:szCs w:val="24"/>
          <w:lang w:eastAsia="lv-LV"/>
        </w:rPr>
        <w:t>10</w:t>
      </w:r>
      <w:r w:rsidRPr="000D47B5">
        <w:rPr>
          <w:rFonts w:ascii="Times New Roman" w:eastAsia="Times New Roman" w:hAnsi="Times New Roman" w:cs="Times New Roman"/>
          <w:b/>
          <w:bCs/>
          <w:sz w:val="23"/>
          <w:szCs w:val="23"/>
          <w:lang w:eastAsia="lv-LV"/>
        </w:rPr>
        <w:t>. PUŠU REKVIZĪTI UN PARAKSTI</w:t>
      </w:r>
    </w:p>
    <w:p w:rsidR="00071E64" w:rsidRDefault="00071E64"/>
    <w:tbl>
      <w:tblPr>
        <w:tblW w:w="8954" w:type="dxa"/>
        <w:tblInd w:w="-106" w:type="dxa"/>
        <w:tblLook w:val="01E0" w:firstRow="1" w:lastRow="1" w:firstColumn="1" w:lastColumn="1" w:noHBand="0" w:noVBand="0"/>
      </w:tblPr>
      <w:tblGrid>
        <w:gridCol w:w="4463"/>
        <w:gridCol w:w="4491"/>
      </w:tblGrid>
      <w:tr w:rsidR="00436D8A" w:rsidRPr="00C122DB" w:rsidTr="00A77DFD">
        <w:trPr>
          <w:trHeight w:val="104"/>
        </w:trPr>
        <w:tc>
          <w:tcPr>
            <w:tcW w:w="4463" w:type="dxa"/>
          </w:tcPr>
          <w:p w:rsidR="00436D8A" w:rsidRPr="00C122DB" w:rsidRDefault="00436D8A" w:rsidP="00A77DFD">
            <w:pPr>
              <w:tabs>
                <w:tab w:val="left" w:pos="2160"/>
              </w:tabs>
              <w:spacing w:after="0" w:line="256" w:lineRule="auto"/>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436D8A" w:rsidRPr="00C122DB" w:rsidRDefault="00436D8A" w:rsidP="00A77DFD">
            <w:pPr>
              <w:tabs>
                <w:tab w:val="left" w:pos="2160"/>
              </w:tabs>
              <w:spacing w:after="0" w:line="256" w:lineRule="auto"/>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436D8A" w:rsidRPr="00C122DB" w:rsidRDefault="00436D8A" w:rsidP="00A77DFD">
            <w:pPr>
              <w:tabs>
                <w:tab w:val="left" w:pos="2160"/>
              </w:tabs>
              <w:spacing w:after="0" w:line="256" w:lineRule="auto"/>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436D8A" w:rsidRPr="00C122DB" w:rsidRDefault="00436D8A" w:rsidP="00A77DFD">
            <w:pPr>
              <w:tabs>
                <w:tab w:val="left" w:pos="2160"/>
              </w:tabs>
              <w:spacing w:after="0" w:line="256" w:lineRule="auto"/>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436D8A" w:rsidRPr="00C122DB" w:rsidRDefault="00436D8A" w:rsidP="00A77DFD">
            <w:pPr>
              <w:tabs>
                <w:tab w:val="left" w:pos="2160"/>
              </w:tabs>
              <w:spacing w:after="0" w:line="256"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436D8A" w:rsidRPr="00C122DB" w:rsidRDefault="00436D8A" w:rsidP="00A77DFD">
            <w:pPr>
              <w:tabs>
                <w:tab w:val="left" w:pos="2160"/>
              </w:tabs>
              <w:spacing w:after="0" w:line="256"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436D8A" w:rsidRPr="00C122DB" w:rsidRDefault="00436D8A" w:rsidP="00A77DFD">
            <w:pPr>
              <w:tabs>
                <w:tab w:val="left" w:pos="2160"/>
              </w:tabs>
              <w:spacing w:after="0" w:line="256"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 xml:space="preserve">Banka: AS Swedbank  </w:t>
            </w:r>
          </w:p>
          <w:p w:rsidR="00436D8A" w:rsidRPr="00C122DB" w:rsidRDefault="00436D8A" w:rsidP="00A77DFD">
            <w:pPr>
              <w:tabs>
                <w:tab w:val="left" w:pos="2160"/>
              </w:tabs>
              <w:spacing w:after="0" w:line="256"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436D8A" w:rsidRDefault="00436D8A" w:rsidP="00A77DFD">
            <w:pPr>
              <w:tabs>
                <w:tab w:val="left" w:pos="2160"/>
              </w:tabs>
              <w:spacing w:after="0" w:line="256" w:lineRule="auto"/>
              <w:jc w:val="both"/>
              <w:rPr>
                <w:rFonts w:ascii="Times New Roman" w:eastAsia="Times New Roman" w:hAnsi="Times New Roman" w:cs="Times New Roman"/>
                <w:bCs/>
                <w:sz w:val="24"/>
                <w:szCs w:val="24"/>
              </w:rPr>
            </w:pPr>
          </w:p>
          <w:p w:rsidR="00436D8A" w:rsidRDefault="00436D8A" w:rsidP="00A77DFD">
            <w:pPr>
              <w:tabs>
                <w:tab w:val="left" w:pos="2160"/>
              </w:tabs>
              <w:spacing w:after="0" w:line="256" w:lineRule="auto"/>
              <w:jc w:val="both"/>
              <w:rPr>
                <w:rFonts w:ascii="Times New Roman" w:eastAsia="Times New Roman" w:hAnsi="Times New Roman" w:cs="Times New Roman"/>
                <w:bCs/>
                <w:sz w:val="24"/>
                <w:szCs w:val="24"/>
              </w:rPr>
            </w:pPr>
          </w:p>
          <w:p w:rsidR="00436D8A" w:rsidRPr="00C122DB" w:rsidRDefault="00436D8A" w:rsidP="00A77DFD">
            <w:pPr>
              <w:tabs>
                <w:tab w:val="left" w:pos="2160"/>
              </w:tabs>
              <w:spacing w:after="0" w:line="256"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436D8A" w:rsidRDefault="00436D8A" w:rsidP="00A77DFD">
            <w:pPr>
              <w:tabs>
                <w:tab w:val="left" w:pos="2160"/>
              </w:tabs>
              <w:spacing w:after="0" w:line="256" w:lineRule="auto"/>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rsidR="00436D8A" w:rsidRDefault="00436D8A" w:rsidP="00A77DFD">
            <w:pPr>
              <w:tabs>
                <w:tab w:val="left" w:pos="2160"/>
              </w:tabs>
              <w:spacing w:after="0" w:line="256" w:lineRule="auto"/>
              <w:jc w:val="both"/>
              <w:rPr>
                <w:rFonts w:ascii="Times New Roman" w:eastAsia="Times New Roman" w:hAnsi="Times New Roman" w:cs="Times New Roman"/>
                <w:bCs/>
                <w:sz w:val="24"/>
                <w:szCs w:val="24"/>
              </w:rPr>
            </w:pPr>
          </w:p>
          <w:p w:rsidR="00436D8A" w:rsidRDefault="00436D8A" w:rsidP="00A77DFD">
            <w:pPr>
              <w:tabs>
                <w:tab w:val="left" w:pos="2160"/>
              </w:tabs>
              <w:spacing w:after="0" w:line="256" w:lineRule="auto"/>
              <w:jc w:val="both"/>
              <w:rPr>
                <w:rFonts w:ascii="Times New Roman" w:eastAsia="Times New Roman" w:hAnsi="Times New Roman" w:cs="Times New Roman"/>
                <w:bCs/>
                <w:sz w:val="24"/>
                <w:szCs w:val="24"/>
              </w:rPr>
            </w:pPr>
          </w:p>
          <w:p w:rsidR="00436D8A" w:rsidRPr="00C122DB" w:rsidRDefault="00436D8A" w:rsidP="00A77DFD">
            <w:pPr>
              <w:tabs>
                <w:tab w:val="left" w:pos="2160"/>
              </w:tabs>
              <w:spacing w:after="0"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436D8A" w:rsidRDefault="00436D8A" w:rsidP="00A77DFD">
            <w:pPr>
              <w:tabs>
                <w:tab w:val="left" w:pos="2160"/>
              </w:tabs>
              <w:spacing w:after="0" w:line="256" w:lineRule="auto"/>
              <w:jc w:val="both"/>
              <w:rPr>
                <w:rFonts w:ascii="Times New Roman" w:eastAsia="Times New Roman" w:hAnsi="Times New Roman" w:cs="Times New Roman"/>
                <w:bCs/>
                <w:sz w:val="24"/>
                <w:szCs w:val="24"/>
              </w:rPr>
            </w:pPr>
            <w:proofErr w:type="spellStart"/>
            <w:r w:rsidRPr="00E647BE">
              <w:rPr>
                <w:rFonts w:ascii="Times New Roman" w:eastAsia="Times New Roman" w:hAnsi="Times New Roman" w:cs="Times New Roman"/>
                <w:bCs/>
                <w:sz w:val="24"/>
                <w:szCs w:val="24"/>
              </w:rPr>
              <w:t>A.Biruma</w:t>
            </w:r>
            <w:proofErr w:type="spellEnd"/>
          </w:p>
          <w:p w:rsidR="00436D8A" w:rsidRDefault="00436D8A" w:rsidP="00A77DFD">
            <w:pPr>
              <w:tabs>
                <w:tab w:val="left" w:pos="2160"/>
              </w:tabs>
              <w:spacing w:after="0" w:line="256" w:lineRule="auto"/>
              <w:jc w:val="both"/>
              <w:rPr>
                <w:rFonts w:ascii="Times New Roman" w:eastAsia="Times New Roman" w:hAnsi="Times New Roman" w:cs="Times New Roman"/>
                <w:bCs/>
                <w:sz w:val="24"/>
                <w:szCs w:val="24"/>
              </w:rPr>
            </w:pPr>
          </w:p>
          <w:p w:rsidR="00436D8A" w:rsidRDefault="00436D8A" w:rsidP="00A77DFD">
            <w:pPr>
              <w:tabs>
                <w:tab w:val="left" w:pos="2160"/>
              </w:tabs>
              <w:spacing w:after="0" w:line="256" w:lineRule="auto"/>
              <w:jc w:val="both"/>
              <w:rPr>
                <w:rFonts w:ascii="Times New Roman" w:eastAsia="Times New Roman" w:hAnsi="Times New Roman" w:cs="Times New Roman"/>
                <w:bCs/>
                <w:sz w:val="24"/>
                <w:szCs w:val="24"/>
              </w:rPr>
            </w:pPr>
          </w:p>
          <w:p w:rsidR="00436D8A" w:rsidRPr="00E647BE" w:rsidRDefault="00436D8A" w:rsidP="00A77DFD">
            <w:pPr>
              <w:tabs>
                <w:tab w:val="left" w:pos="2160"/>
              </w:tabs>
              <w:spacing w:after="0"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436D8A" w:rsidRPr="00E647BE" w:rsidRDefault="00436D8A" w:rsidP="00A77DFD">
            <w:pPr>
              <w:tabs>
                <w:tab w:val="left" w:pos="2160"/>
              </w:tabs>
              <w:spacing w:after="0" w:line="256" w:lineRule="auto"/>
              <w:jc w:val="both"/>
              <w:rPr>
                <w:rFonts w:ascii="Times New Roman" w:eastAsia="Times New Roman" w:hAnsi="Times New Roman" w:cs="Times New Roman"/>
                <w:bCs/>
                <w:sz w:val="24"/>
                <w:szCs w:val="24"/>
              </w:rPr>
            </w:pPr>
            <w:proofErr w:type="spellStart"/>
            <w:r w:rsidRPr="00E647BE">
              <w:rPr>
                <w:rFonts w:ascii="Times New Roman" w:eastAsia="Times New Roman" w:hAnsi="Times New Roman" w:cs="Times New Roman"/>
                <w:bCs/>
                <w:sz w:val="24"/>
                <w:szCs w:val="24"/>
              </w:rPr>
              <w:t>E.Buša</w:t>
            </w:r>
            <w:proofErr w:type="spellEnd"/>
            <w:r w:rsidRPr="00E647BE">
              <w:rPr>
                <w:rFonts w:ascii="Times New Roman" w:eastAsia="Times New Roman" w:hAnsi="Times New Roman" w:cs="Times New Roman"/>
                <w:bCs/>
                <w:sz w:val="24"/>
                <w:szCs w:val="24"/>
              </w:rPr>
              <w:t xml:space="preserve"> </w:t>
            </w:r>
          </w:p>
        </w:tc>
        <w:tc>
          <w:tcPr>
            <w:tcW w:w="4491" w:type="dxa"/>
          </w:tcPr>
          <w:p w:rsidR="00436D8A" w:rsidRPr="00C122DB" w:rsidRDefault="00436D8A" w:rsidP="00A77DFD">
            <w:pPr>
              <w:tabs>
                <w:tab w:val="left" w:pos="2160"/>
              </w:tabs>
              <w:spacing w:after="0" w:line="25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436D8A" w:rsidRPr="00C122DB" w:rsidRDefault="00436D8A" w:rsidP="00A77DFD">
            <w:pPr>
              <w:tabs>
                <w:tab w:val="left" w:pos="2160"/>
              </w:tab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w:t>
            </w:r>
            <w:proofErr w:type="spellStart"/>
            <w:r>
              <w:rPr>
                <w:rFonts w:ascii="Times New Roman" w:eastAsia="Times New Roman" w:hAnsi="Times New Roman" w:cs="Times New Roman"/>
                <w:b/>
                <w:bCs/>
                <w:sz w:val="24"/>
                <w:szCs w:val="24"/>
              </w:rPr>
              <w:t>OneMed</w:t>
            </w:r>
            <w:proofErr w:type="spellEnd"/>
            <w:r>
              <w:rPr>
                <w:rFonts w:ascii="Times New Roman" w:eastAsia="Times New Roman" w:hAnsi="Times New Roman" w:cs="Times New Roman"/>
                <w:b/>
                <w:bCs/>
                <w:sz w:val="24"/>
                <w:szCs w:val="24"/>
              </w:rPr>
              <w:t>”</w:t>
            </w:r>
          </w:p>
          <w:p w:rsidR="00436D8A" w:rsidRPr="00DE110D" w:rsidRDefault="00436D8A" w:rsidP="00A77DFD">
            <w:pPr>
              <w:spacing w:after="0" w:line="240" w:lineRule="auto"/>
              <w:ind w:right="-1049"/>
              <w:outlineLvl w:val="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40003551944</w:t>
            </w:r>
          </w:p>
          <w:p w:rsidR="00436D8A" w:rsidRPr="00DE110D" w:rsidRDefault="00436D8A" w:rsidP="00A77DFD">
            <w:pPr>
              <w:spacing w:after="0" w:line="240" w:lineRule="auto"/>
              <w:ind w:right="-104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Dārzciema iela 56A, Rīga, LV - 1073</w:t>
            </w:r>
          </w:p>
          <w:p w:rsidR="00436D8A" w:rsidRPr="00DE110D" w:rsidRDefault="00436D8A" w:rsidP="00A77DFD">
            <w:pPr>
              <w:tabs>
                <w:tab w:val="left" w:pos="4395"/>
              </w:tabs>
              <w:spacing w:after="0" w:line="240" w:lineRule="auto"/>
              <w:ind w:right="-1049"/>
              <w:rPr>
                <w:rFonts w:ascii="Times New Roman" w:eastAsia="Times New Roman" w:hAnsi="Times New Roman" w:cs="Times New Roman"/>
                <w:sz w:val="24"/>
                <w:szCs w:val="24"/>
              </w:rPr>
            </w:pPr>
            <w:r w:rsidRPr="00DE110D">
              <w:rPr>
                <w:rFonts w:ascii="Times New Roman" w:eastAsia="Times New Roman" w:hAnsi="Times New Roman" w:cs="Times New Roman"/>
                <w:iCs/>
                <w:sz w:val="24"/>
                <w:szCs w:val="24"/>
              </w:rPr>
              <w:t>Banka:</w:t>
            </w:r>
            <w:r>
              <w:rPr>
                <w:rFonts w:ascii="Times New Roman" w:eastAsia="Times New Roman" w:hAnsi="Times New Roman" w:cs="Times New Roman"/>
                <w:iCs/>
                <w:sz w:val="24"/>
                <w:szCs w:val="24"/>
              </w:rPr>
              <w:t xml:space="preserve"> </w:t>
            </w:r>
            <w:proofErr w:type="spellStart"/>
            <w:r>
              <w:rPr>
                <w:rFonts w:ascii="Times New Roman" w:eastAsia="Times New Roman" w:hAnsi="Times New Roman"/>
                <w:iCs/>
                <w:sz w:val="24"/>
                <w:szCs w:val="24"/>
              </w:rPr>
              <w:t>Luminor</w:t>
            </w:r>
            <w:proofErr w:type="spellEnd"/>
            <w:r>
              <w:rPr>
                <w:rFonts w:ascii="Times New Roman" w:eastAsia="Times New Roman" w:hAnsi="Times New Roman"/>
                <w:iCs/>
                <w:sz w:val="24"/>
                <w:szCs w:val="24"/>
              </w:rPr>
              <w:t xml:space="preserve"> </w:t>
            </w:r>
            <w:proofErr w:type="spellStart"/>
            <w:r>
              <w:rPr>
                <w:rFonts w:ascii="Times New Roman" w:eastAsia="Times New Roman" w:hAnsi="Times New Roman"/>
                <w:iCs/>
                <w:sz w:val="24"/>
                <w:szCs w:val="24"/>
              </w:rPr>
              <w:t>Bank</w:t>
            </w:r>
            <w:proofErr w:type="spellEnd"/>
            <w:r>
              <w:rPr>
                <w:rFonts w:ascii="Times New Roman" w:eastAsia="Times New Roman" w:hAnsi="Times New Roman"/>
                <w:iCs/>
                <w:sz w:val="24"/>
                <w:szCs w:val="24"/>
              </w:rPr>
              <w:t xml:space="preserve"> AS</w:t>
            </w:r>
          </w:p>
          <w:p w:rsidR="00436D8A" w:rsidRPr="00DE110D" w:rsidRDefault="00436D8A" w:rsidP="00A77DFD">
            <w:pPr>
              <w:tabs>
                <w:tab w:val="left" w:pos="4395"/>
              </w:tabs>
              <w:spacing w:after="0" w:line="240" w:lineRule="auto"/>
              <w:ind w:right="-1049"/>
              <w:rPr>
                <w:rFonts w:ascii="Times New Roman" w:eastAsia="Times New Roman" w:hAnsi="Times New Roman" w:cs="Times New Roman"/>
                <w:sz w:val="24"/>
                <w:szCs w:val="24"/>
              </w:rPr>
            </w:pPr>
            <w:r>
              <w:rPr>
                <w:rFonts w:ascii="Times New Roman" w:eastAsia="Times New Roman" w:hAnsi="Times New Roman" w:cs="Times New Roman"/>
                <w:sz w:val="24"/>
                <w:szCs w:val="24"/>
              </w:rPr>
              <w:t>Kods: NDEA LV 2X</w:t>
            </w:r>
          </w:p>
          <w:p w:rsidR="00436D8A" w:rsidRPr="00DE110D" w:rsidRDefault="00436D8A" w:rsidP="00A77DFD">
            <w:pPr>
              <w:tabs>
                <w:tab w:val="left" w:pos="4395"/>
              </w:tabs>
              <w:spacing w:after="0" w:line="240" w:lineRule="auto"/>
              <w:ind w:right="-1049"/>
              <w:rPr>
                <w:rFonts w:ascii="Times New Roman" w:eastAsia="Times New Roman" w:hAnsi="Times New Roman" w:cs="Times New Roman"/>
                <w:sz w:val="24"/>
                <w:szCs w:val="24"/>
              </w:rPr>
            </w:pPr>
            <w:r w:rsidRPr="00DE110D">
              <w:rPr>
                <w:rFonts w:ascii="Times New Roman" w:eastAsia="Times New Roman" w:hAnsi="Times New Roman" w:cs="Times New Roman"/>
                <w:sz w:val="24"/>
                <w:szCs w:val="24"/>
              </w:rPr>
              <w:t>Konta Nr.</w:t>
            </w:r>
            <w:r>
              <w:rPr>
                <w:rFonts w:ascii="Times New Roman" w:eastAsia="Times New Roman" w:hAnsi="Times New Roman" w:cs="Times New Roman"/>
                <w:sz w:val="24"/>
                <w:szCs w:val="24"/>
              </w:rPr>
              <w:t xml:space="preserve"> LV69NDEA0000080062916</w:t>
            </w:r>
          </w:p>
          <w:p w:rsidR="00436D8A" w:rsidRDefault="00436D8A" w:rsidP="00A77DFD">
            <w:pPr>
              <w:tabs>
                <w:tab w:val="left" w:pos="2160"/>
              </w:tabs>
              <w:spacing w:after="0" w:line="256" w:lineRule="auto"/>
              <w:jc w:val="both"/>
              <w:rPr>
                <w:rFonts w:ascii="Times New Roman" w:eastAsia="Times New Roman" w:hAnsi="Times New Roman" w:cs="Times New Roman"/>
                <w:bCs/>
                <w:sz w:val="24"/>
                <w:szCs w:val="24"/>
              </w:rPr>
            </w:pPr>
          </w:p>
          <w:p w:rsidR="00436D8A" w:rsidRDefault="00436D8A" w:rsidP="00A77DFD">
            <w:pPr>
              <w:tabs>
                <w:tab w:val="left" w:pos="4395"/>
              </w:tabs>
              <w:spacing w:after="0" w:line="240" w:lineRule="auto"/>
              <w:ind w:right="-1049"/>
              <w:rPr>
                <w:rFonts w:ascii="Times New Roman" w:eastAsia="Times New Roman" w:hAnsi="Times New Roman"/>
                <w:sz w:val="24"/>
                <w:szCs w:val="24"/>
              </w:rPr>
            </w:pPr>
            <w:r>
              <w:rPr>
                <w:rFonts w:ascii="Times New Roman" w:eastAsia="Times New Roman" w:hAnsi="Times New Roman"/>
                <w:sz w:val="24"/>
                <w:szCs w:val="24"/>
              </w:rPr>
              <w:t xml:space="preserve"> Kopprokūra:</w:t>
            </w:r>
          </w:p>
          <w:p w:rsidR="00436D8A" w:rsidRDefault="00436D8A" w:rsidP="00A77DFD">
            <w:pPr>
              <w:tabs>
                <w:tab w:val="left" w:pos="4395"/>
              </w:tabs>
              <w:spacing w:after="0" w:line="240" w:lineRule="auto"/>
              <w:ind w:right="-1049"/>
              <w:rPr>
                <w:rFonts w:ascii="Times New Roman" w:eastAsia="Times New Roman" w:hAnsi="Times New Roman"/>
                <w:sz w:val="24"/>
                <w:szCs w:val="24"/>
              </w:rPr>
            </w:pPr>
          </w:p>
          <w:p w:rsidR="00436D8A" w:rsidRDefault="00436D8A" w:rsidP="00A77DFD">
            <w:pPr>
              <w:tabs>
                <w:tab w:val="left" w:pos="4395"/>
              </w:tabs>
              <w:spacing w:after="0" w:line="240" w:lineRule="auto"/>
              <w:ind w:right="-1049"/>
              <w:rPr>
                <w:rFonts w:ascii="Times New Roman" w:eastAsia="Times New Roman" w:hAnsi="Times New Roman"/>
                <w:sz w:val="24"/>
                <w:szCs w:val="24"/>
              </w:rPr>
            </w:pPr>
          </w:p>
          <w:p w:rsidR="00436D8A" w:rsidRPr="002B6AD4" w:rsidRDefault="00436D8A" w:rsidP="00A77DFD">
            <w:pPr>
              <w:tabs>
                <w:tab w:val="left" w:pos="4395"/>
              </w:tabs>
              <w:spacing w:after="0" w:line="240" w:lineRule="auto"/>
              <w:ind w:right="-1049"/>
              <w:rPr>
                <w:rFonts w:ascii="Times New Roman" w:eastAsia="Times New Roman" w:hAnsi="Times New Roman"/>
                <w:iCs/>
                <w:sz w:val="24"/>
                <w:szCs w:val="24"/>
              </w:rPr>
            </w:pPr>
            <w:r>
              <w:rPr>
                <w:rFonts w:ascii="Times New Roman" w:eastAsia="Times New Roman" w:hAnsi="Times New Roman"/>
                <w:iCs/>
                <w:sz w:val="24"/>
                <w:szCs w:val="24"/>
              </w:rPr>
              <w:t xml:space="preserve"> Prokūrists Jānis </w:t>
            </w:r>
            <w:proofErr w:type="spellStart"/>
            <w:r>
              <w:rPr>
                <w:rFonts w:ascii="Times New Roman" w:eastAsia="Times New Roman" w:hAnsi="Times New Roman"/>
                <w:iCs/>
                <w:sz w:val="24"/>
                <w:szCs w:val="24"/>
              </w:rPr>
              <w:t>Kūlants</w:t>
            </w:r>
            <w:proofErr w:type="spellEnd"/>
            <w:r>
              <w:rPr>
                <w:rFonts w:ascii="Times New Roman" w:eastAsia="Times New Roman" w:hAnsi="Times New Roman"/>
                <w:iCs/>
                <w:sz w:val="24"/>
                <w:szCs w:val="24"/>
              </w:rPr>
              <w:t xml:space="preserve"> _________________</w:t>
            </w:r>
          </w:p>
          <w:p w:rsidR="00436D8A" w:rsidRDefault="00436D8A" w:rsidP="00A77DFD">
            <w:pPr>
              <w:tabs>
                <w:tab w:val="left" w:pos="4395"/>
              </w:tabs>
              <w:spacing w:after="0" w:line="240" w:lineRule="auto"/>
              <w:ind w:right="-1049"/>
              <w:rPr>
                <w:rFonts w:ascii="Times New Roman" w:eastAsia="Times New Roman" w:hAnsi="Times New Roman"/>
                <w:sz w:val="24"/>
                <w:szCs w:val="24"/>
              </w:rPr>
            </w:pPr>
            <w:r>
              <w:rPr>
                <w:rFonts w:ascii="Times New Roman" w:eastAsia="Times New Roman" w:hAnsi="Times New Roman"/>
                <w:sz w:val="24"/>
                <w:szCs w:val="24"/>
              </w:rPr>
              <w:t xml:space="preserve"> </w:t>
            </w:r>
          </w:p>
          <w:p w:rsidR="00436D8A" w:rsidRDefault="00436D8A" w:rsidP="00A77DFD">
            <w:pPr>
              <w:tabs>
                <w:tab w:val="left" w:pos="4395"/>
              </w:tabs>
              <w:spacing w:after="0" w:line="240" w:lineRule="auto"/>
              <w:ind w:right="-1049"/>
              <w:rPr>
                <w:rFonts w:ascii="Times New Roman" w:eastAsia="Times New Roman" w:hAnsi="Times New Roman"/>
                <w:sz w:val="24"/>
                <w:szCs w:val="24"/>
              </w:rPr>
            </w:pPr>
          </w:p>
          <w:p w:rsidR="00436D8A" w:rsidRDefault="00436D8A" w:rsidP="00A77DFD">
            <w:pPr>
              <w:tabs>
                <w:tab w:val="left" w:pos="4395"/>
              </w:tabs>
              <w:spacing w:after="0" w:line="240" w:lineRule="auto"/>
              <w:ind w:right="-1049"/>
              <w:rPr>
                <w:rFonts w:ascii="Times New Roman" w:eastAsia="Times New Roman" w:hAnsi="Times New Roman"/>
                <w:sz w:val="24"/>
                <w:szCs w:val="24"/>
              </w:rPr>
            </w:pPr>
          </w:p>
          <w:p w:rsidR="00436D8A" w:rsidRDefault="00436D8A" w:rsidP="00A77DFD">
            <w:pPr>
              <w:tabs>
                <w:tab w:val="left" w:pos="4395"/>
              </w:tabs>
              <w:spacing w:after="0" w:line="240" w:lineRule="auto"/>
              <w:ind w:right="-1049"/>
              <w:rPr>
                <w:rFonts w:ascii="Times New Roman" w:eastAsia="Times New Roman" w:hAnsi="Times New Roman"/>
                <w:sz w:val="24"/>
                <w:szCs w:val="24"/>
              </w:rPr>
            </w:pPr>
            <w:r>
              <w:rPr>
                <w:rFonts w:ascii="Times New Roman" w:eastAsia="Times New Roman" w:hAnsi="Times New Roman"/>
                <w:sz w:val="24"/>
                <w:szCs w:val="24"/>
              </w:rPr>
              <w:t>Prokūrists Māra Lazdiņa________________ __</w:t>
            </w:r>
          </w:p>
          <w:p w:rsidR="00436D8A" w:rsidRDefault="00436D8A" w:rsidP="00A77DFD">
            <w:pPr>
              <w:tabs>
                <w:tab w:val="left" w:pos="2160"/>
              </w:tabs>
              <w:spacing w:after="0" w:line="256" w:lineRule="auto"/>
              <w:jc w:val="both"/>
              <w:rPr>
                <w:rFonts w:ascii="Times New Roman" w:eastAsia="Times New Roman" w:hAnsi="Times New Roman" w:cs="Times New Roman"/>
                <w:bCs/>
                <w:sz w:val="24"/>
                <w:szCs w:val="24"/>
              </w:rPr>
            </w:pPr>
            <w:r>
              <w:rPr>
                <w:rFonts w:ascii="Times New Roman" w:eastAsia="Times New Roman" w:hAnsi="Times New Roman"/>
                <w:sz w:val="24"/>
                <w:szCs w:val="24"/>
              </w:rPr>
              <w:t xml:space="preserve">     </w:t>
            </w:r>
          </w:p>
          <w:p w:rsidR="00436D8A" w:rsidRDefault="00436D8A" w:rsidP="00A77DFD">
            <w:pPr>
              <w:tabs>
                <w:tab w:val="left" w:pos="2160"/>
              </w:tabs>
              <w:spacing w:after="0" w:line="256" w:lineRule="auto"/>
              <w:jc w:val="both"/>
              <w:rPr>
                <w:rFonts w:ascii="Times New Roman" w:eastAsia="Times New Roman" w:hAnsi="Times New Roman" w:cs="Times New Roman"/>
                <w:bCs/>
                <w:sz w:val="24"/>
                <w:szCs w:val="24"/>
              </w:rPr>
            </w:pPr>
          </w:p>
          <w:p w:rsidR="00436D8A" w:rsidRDefault="00436D8A" w:rsidP="00A77DFD">
            <w:pPr>
              <w:tabs>
                <w:tab w:val="left" w:pos="2160"/>
              </w:tabs>
              <w:spacing w:after="0" w:line="256" w:lineRule="auto"/>
              <w:jc w:val="both"/>
              <w:rPr>
                <w:rFonts w:ascii="Times New Roman" w:eastAsia="Times New Roman" w:hAnsi="Times New Roman" w:cs="Times New Roman"/>
                <w:bCs/>
                <w:sz w:val="24"/>
                <w:szCs w:val="24"/>
              </w:rPr>
            </w:pPr>
          </w:p>
          <w:p w:rsidR="00436D8A" w:rsidRPr="00C122DB" w:rsidRDefault="00436D8A" w:rsidP="00A77DFD">
            <w:pPr>
              <w:tabs>
                <w:tab w:val="left" w:pos="2160"/>
              </w:tabs>
              <w:spacing w:after="0" w:line="256" w:lineRule="auto"/>
              <w:jc w:val="both"/>
              <w:rPr>
                <w:rFonts w:ascii="Times New Roman" w:eastAsia="Times New Roman" w:hAnsi="Times New Roman" w:cs="Times New Roman"/>
                <w:bCs/>
                <w:sz w:val="24"/>
                <w:szCs w:val="24"/>
              </w:rPr>
            </w:pPr>
          </w:p>
        </w:tc>
      </w:tr>
    </w:tbl>
    <w:p w:rsidR="00436D8A" w:rsidRDefault="00436D8A"/>
    <w:p w:rsidR="00071E64" w:rsidRDefault="00071E64">
      <w:pPr>
        <w:sectPr w:rsidR="00071E64" w:rsidSect="00DE110D">
          <w:footerReference w:type="default" r:id="rId7"/>
          <w:pgSz w:w="11906" w:h="16838"/>
          <w:pgMar w:top="1440" w:right="1800" w:bottom="1440" w:left="1800" w:header="708" w:footer="708" w:gutter="0"/>
          <w:cols w:space="708"/>
          <w:titlePg/>
          <w:docGrid w:linePitch="360"/>
        </w:sectPr>
      </w:pPr>
    </w:p>
    <w:p w:rsidR="00071E64" w:rsidRPr="007C1F50" w:rsidRDefault="007C1F50" w:rsidP="007C1F5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Vienošanās 1.pielikums</w:t>
      </w:r>
    </w:p>
    <w:p w:rsidR="00071E64" w:rsidRPr="00ED6C5D" w:rsidRDefault="00ED6C5D" w:rsidP="00ED6C5D">
      <w:pPr>
        <w:jc w:val="center"/>
        <w:rPr>
          <w:rFonts w:ascii="Times New Roman" w:hAnsi="Times New Roman" w:cs="Times New Roman"/>
          <w:b/>
          <w:sz w:val="24"/>
          <w:szCs w:val="24"/>
        </w:rPr>
      </w:pPr>
      <w:r w:rsidRPr="00ED6C5D">
        <w:rPr>
          <w:rFonts w:ascii="Times New Roman" w:hAnsi="Times New Roman" w:cs="Times New Roman"/>
          <w:b/>
          <w:sz w:val="24"/>
          <w:szCs w:val="24"/>
        </w:rPr>
        <w:t xml:space="preserve">Piegādātāju saraksts </w:t>
      </w:r>
    </w:p>
    <w:tbl>
      <w:tblPr>
        <w:tblStyle w:val="TableGrid7"/>
        <w:tblW w:w="5000" w:type="pct"/>
        <w:tblLook w:val="04A0" w:firstRow="1" w:lastRow="0" w:firstColumn="1" w:lastColumn="0" w:noHBand="0" w:noVBand="1"/>
      </w:tblPr>
      <w:tblGrid>
        <w:gridCol w:w="4531"/>
        <w:gridCol w:w="3403"/>
        <w:gridCol w:w="2834"/>
        <w:gridCol w:w="3180"/>
      </w:tblGrid>
      <w:tr w:rsidR="008418B5" w:rsidRPr="00ED6C5D" w:rsidTr="0012716C">
        <w:tc>
          <w:tcPr>
            <w:tcW w:w="1624" w:type="pct"/>
            <w:vAlign w:val="center"/>
          </w:tcPr>
          <w:p w:rsidR="00ED6C5D" w:rsidRPr="00ED6C5D" w:rsidRDefault="00ED6C5D" w:rsidP="00ED6C5D">
            <w:pPr>
              <w:jc w:val="center"/>
              <w:rPr>
                <w:rFonts w:ascii="Times New Roman" w:hAnsi="Times New Roman"/>
                <w:sz w:val="22"/>
                <w:szCs w:val="22"/>
              </w:rPr>
            </w:pPr>
            <w:r w:rsidRPr="00ED6C5D">
              <w:rPr>
                <w:rFonts w:ascii="Times New Roman" w:hAnsi="Times New Roman"/>
                <w:sz w:val="22"/>
                <w:szCs w:val="22"/>
              </w:rPr>
              <w:t>Iepirkuma daļas Nr. un nosaukums</w:t>
            </w:r>
          </w:p>
        </w:tc>
        <w:tc>
          <w:tcPr>
            <w:tcW w:w="1220" w:type="pct"/>
            <w:vAlign w:val="center"/>
          </w:tcPr>
          <w:p w:rsidR="00ED6C5D" w:rsidRPr="00ED6C5D" w:rsidRDefault="00ED6C5D" w:rsidP="00ED6C5D">
            <w:pPr>
              <w:jc w:val="center"/>
              <w:rPr>
                <w:rFonts w:ascii="Times New Roman" w:hAnsi="Times New Roman"/>
                <w:sz w:val="22"/>
                <w:szCs w:val="22"/>
              </w:rPr>
            </w:pPr>
            <w:r w:rsidRPr="00ED6C5D">
              <w:rPr>
                <w:rFonts w:ascii="Times New Roman" w:hAnsi="Times New Roman"/>
                <w:sz w:val="22"/>
                <w:szCs w:val="22"/>
              </w:rPr>
              <w:t>Piegādātājs Nr.1</w:t>
            </w:r>
          </w:p>
          <w:p w:rsidR="00ED6C5D" w:rsidRPr="00ED6C5D" w:rsidRDefault="00ED6C5D" w:rsidP="00ED6C5D">
            <w:pPr>
              <w:ind w:left="360"/>
              <w:jc w:val="center"/>
              <w:rPr>
                <w:rFonts w:ascii="Times New Roman" w:hAnsi="Times New Roman"/>
                <w:sz w:val="22"/>
                <w:szCs w:val="22"/>
              </w:rPr>
            </w:pPr>
            <w:r w:rsidRPr="00ED6C5D">
              <w:rPr>
                <w:rFonts w:ascii="Times New Roman" w:hAnsi="Times New Roman"/>
                <w:sz w:val="22"/>
                <w:szCs w:val="22"/>
              </w:rPr>
              <w:t>(nosaukums )</w:t>
            </w:r>
          </w:p>
        </w:tc>
        <w:tc>
          <w:tcPr>
            <w:tcW w:w="1016" w:type="pct"/>
            <w:vAlign w:val="center"/>
          </w:tcPr>
          <w:p w:rsidR="00ED6C5D" w:rsidRPr="00ED6C5D" w:rsidRDefault="00ED6C5D" w:rsidP="00ED6C5D">
            <w:pPr>
              <w:jc w:val="center"/>
              <w:rPr>
                <w:rFonts w:ascii="Times New Roman" w:hAnsi="Times New Roman"/>
                <w:sz w:val="22"/>
                <w:szCs w:val="22"/>
              </w:rPr>
            </w:pPr>
            <w:r w:rsidRPr="00ED6C5D">
              <w:rPr>
                <w:rFonts w:ascii="Times New Roman" w:hAnsi="Times New Roman"/>
                <w:sz w:val="22"/>
                <w:szCs w:val="22"/>
              </w:rPr>
              <w:t>Piegādātājs Nr.2 (nosaukums)</w:t>
            </w:r>
          </w:p>
        </w:tc>
        <w:tc>
          <w:tcPr>
            <w:tcW w:w="1140" w:type="pct"/>
            <w:vAlign w:val="center"/>
          </w:tcPr>
          <w:p w:rsidR="00ED6C5D" w:rsidRPr="00ED6C5D" w:rsidRDefault="00ED6C5D" w:rsidP="00ED6C5D">
            <w:pPr>
              <w:jc w:val="center"/>
              <w:rPr>
                <w:rFonts w:ascii="Times New Roman" w:hAnsi="Times New Roman"/>
                <w:sz w:val="22"/>
                <w:szCs w:val="22"/>
              </w:rPr>
            </w:pPr>
            <w:r w:rsidRPr="00ED6C5D">
              <w:rPr>
                <w:rFonts w:ascii="Times New Roman" w:hAnsi="Times New Roman"/>
                <w:sz w:val="22"/>
                <w:szCs w:val="22"/>
              </w:rPr>
              <w:t>Piegādātājs Nr.3 (nosaukums)</w:t>
            </w:r>
          </w:p>
        </w:tc>
      </w:tr>
      <w:tr w:rsidR="008418B5" w:rsidRPr="0012716C" w:rsidTr="0012716C">
        <w:tc>
          <w:tcPr>
            <w:tcW w:w="1624" w:type="pct"/>
          </w:tcPr>
          <w:p w:rsidR="00ED6C5D" w:rsidRPr="00ED6C5D" w:rsidRDefault="00ED6C5D" w:rsidP="00ED6C5D">
            <w:pPr>
              <w:spacing w:line="276" w:lineRule="auto"/>
              <w:contextualSpacing/>
              <w:jc w:val="both"/>
              <w:rPr>
                <w:rFonts w:ascii="Times New Roman" w:hAnsi="Times New Roman"/>
                <w:sz w:val="22"/>
                <w:szCs w:val="22"/>
              </w:rPr>
            </w:pPr>
            <w:r w:rsidRPr="0012716C">
              <w:rPr>
                <w:rFonts w:ascii="Times New Roman" w:hAnsi="Times New Roman"/>
                <w:sz w:val="22"/>
                <w:szCs w:val="22"/>
              </w:rPr>
              <w:t xml:space="preserve">1.daļa - </w:t>
            </w:r>
            <w:r w:rsidRPr="0012716C">
              <w:rPr>
                <w:rFonts w:ascii="Times New Roman" w:eastAsia="Times New Roman" w:hAnsi="Times New Roman"/>
                <w:i/>
                <w:sz w:val="22"/>
                <w:szCs w:val="22"/>
                <w:lang w:eastAsia="en-US"/>
              </w:rPr>
              <w:t>Koronāro sūkņu uzgaļi</w:t>
            </w:r>
          </w:p>
        </w:tc>
        <w:tc>
          <w:tcPr>
            <w:tcW w:w="1220" w:type="pct"/>
          </w:tcPr>
          <w:p w:rsidR="00ED6C5D" w:rsidRPr="00ED6C5D" w:rsidRDefault="00ED6C5D" w:rsidP="00ED6C5D">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ED6C5D" w:rsidRPr="00ED6C5D" w:rsidRDefault="00ED6C5D" w:rsidP="00ED6C5D">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ED6C5D" w:rsidRPr="00ED6C5D" w:rsidRDefault="00ED6C5D" w:rsidP="00ED6C5D">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rPr>
          <w:trHeight w:val="463"/>
        </w:trPr>
        <w:tc>
          <w:tcPr>
            <w:tcW w:w="1624" w:type="pct"/>
          </w:tcPr>
          <w:p w:rsidR="00ED6C5D" w:rsidRPr="00ED6C5D" w:rsidRDefault="00ED6C5D" w:rsidP="00C30793">
            <w:pPr>
              <w:contextualSpacing/>
              <w:jc w:val="both"/>
              <w:rPr>
                <w:rFonts w:ascii="Times New Roman" w:hAnsi="Times New Roman"/>
                <w:sz w:val="22"/>
                <w:szCs w:val="22"/>
              </w:rPr>
            </w:pPr>
            <w:r w:rsidRPr="0012716C">
              <w:rPr>
                <w:rFonts w:ascii="Times New Roman" w:hAnsi="Times New Roman"/>
                <w:sz w:val="22"/>
                <w:szCs w:val="22"/>
              </w:rPr>
              <w:t xml:space="preserve">2.daļa - </w:t>
            </w:r>
            <w:proofErr w:type="spellStart"/>
            <w:r w:rsidRPr="0012716C">
              <w:rPr>
                <w:rFonts w:ascii="Times New Roman" w:eastAsia="Times New Roman" w:hAnsi="Times New Roman"/>
                <w:i/>
                <w:sz w:val="22"/>
                <w:szCs w:val="22"/>
                <w:lang w:eastAsia="en-US"/>
              </w:rPr>
              <w:t>Ekeltrokoagulācijas</w:t>
            </w:r>
            <w:proofErr w:type="spellEnd"/>
            <w:r w:rsidRPr="0012716C">
              <w:rPr>
                <w:rFonts w:ascii="Times New Roman" w:eastAsia="Times New Roman" w:hAnsi="Times New Roman"/>
                <w:i/>
                <w:sz w:val="22"/>
                <w:szCs w:val="22"/>
                <w:lang w:eastAsia="en-US"/>
              </w:rPr>
              <w:t xml:space="preserve"> piederumi sirds ķirurģijai</w:t>
            </w:r>
          </w:p>
        </w:tc>
        <w:tc>
          <w:tcPr>
            <w:tcW w:w="1220" w:type="pct"/>
          </w:tcPr>
          <w:p w:rsidR="00ED6C5D" w:rsidRPr="00ED6C5D" w:rsidRDefault="00ED6C5D" w:rsidP="00ED6C5D">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ED6C5D" w:rsidRPr="00ED6C5D" w:rsidRDefault="00ED6C5D" w:rsidP="00ED6C5D">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ED6C5D" w:rsidRPr="00ED6C5D" w:rsidRDefault="00ED6C5D" w:rsidP="00ED6C5D">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ED6C5D" w:rsidRPr="00ED6C5D" w:rsidRDefault="00ED6C5D" w:rsidP="00C30793">
            <w:pPr>
              <w:contextualSpacing/>
              <w:jc w:val="both"/>
              <w:rPr>
                <w:rFonts w:ascii="Times New Roman" w:hAnsi="Times New Roman"/>
                <w:sz w:val="22"/>
                <w:szCs w:val="22"/>
              </w:rPr>
            </w:pPr>
            <w:r w:rsidRPr="0012716C">
              <w:rPr>
                <w:rFonts w:ascii="Times New Roman" w:hAnsi="Times New Roman"/>
                <w:sz w:val="22"/>
                <w:szCs w:val="22"/>
              </w:rPr>
              <w:t xml:space="preserve">3.daļa - </w:t>
            </w:r>
            <w:r w:rsidRPr="0012716C">
              <w:rPr>
                <w:rFonts w:ascii="Times New Roman" w:eastAsia="Times New Roman" w:hAnsi="Times New Roman"/>
                <w:bCs/>
                <w:i/>
                <w:iCs/>
                <w:sz w:val="22"/>
                <w:szCs w:val="22"/>
                <w:lang w:eastAsia="en-US"/>
              </w:rPr>
              <w:t>Elpināšanas ierīču piederumi sirds ķirurģijai</w:t>
            </w:r>
          </w:p>
        </w:tc>
        <w:tc>
          <w:tcPr>
            <w:tcW w:w="1220" w:type="pct"/>
          </w:tcPr>
          <w:p w:rsidR="00ED6C5D" w:rsidRPr="00ED6C5D" w:rsidRDefault="00ED6C5D" w:rsidP="00ED6C5D">
            <w:pPr>
              <w:jc w:val="both"/>
              <w:rPr>
                <w:rFonts w:ascii="Times New Roman" w:hAnsi="Times New Roman"/>
                <w:sz w:val="22"/>
                <w:szCs w:val="22"/>
              </w:rPr>
            </w:pPr>
            <w:r w:rsidRPr="0012716C">
              <w:rPr>
                <w:rFonts w:ascii="Times New Roman" w:hAnsi="Times New Roman"/>
                <w:sz w:val="22"/>
                <w:szCs w:val="22"/>
              </w:rPr>
              <w:t>SIA “</w:t>
            </w:r>
            <w:proofErr w:type="spellStart"/>
            <w:r w:rsidRPr="0012716C">
              <w:rPr>
                <w:rFonts w:ascii="Times New Roman" w:hAnsi="Times New Roman"/>
                <w:sz w:val="22"/>
                <w:szCs w:val="22"/>
              </w:rPr>
              <w:t>OneMed</w:t>
            </w:r>
            <w:proofErr w:type="spellEnd"/>
            <w:r w:rsidRPr="0012716C">
              <w:rPr>
                <w:rFonts w:ascii="Times New Roman" w:hAnsi="Times New Roman"/>
                <w:sz w:val="22"/>
                <w:szCs w:val="22"/>
              </w:rPr>
              <w:t>”</w:t>
            </w:r>
          </w:p>
        </w:tc>
        <w:tc>
          <w:tcPr>
            <w:tcW w:w="1016" w:type="pct"/>
          </w:tcPr>
          <w:p w:rsidR="00ED6C5D" w:rsidRPr="00ED6C5D" w:rsidRDefault="00ED6C5D" w:rsidP="00ED6C5D">
            <w:pPr>
              <w:jc w:val="both"/>
              <w:rPr>
                <w:rFonts w:ascii="Times New Roman" w:hAnsi="Times New Roman"/>
                <w:sz w:val="22"/>
                <w:szCs w:val="22"/>
              </w:rPr>
            </w:pPr>
            <w:r w:rsidRPr="0012716C">
              <w:rPr>
                <w:rFonts w:ascii="Times New Roman" w:hAnsi="Times New Roman"/>
                <w:sz w:val="22"/>
                <w:szCs w:val="22"/>
              </w:rPr>
              <w:t>SIA “</w:t>
            </w:r>
            <w:proofErr w:type="spellStart"/>
            <w:r w:rsidRPr="0012716C">
              <w:rPr>
                <w:rFonts w:ascii="Times New Roman" w:hAnsi="Times New Roman"/>
                <w:sz w:val="22"/>
                <w:szCs w:val="22"/>
              </w:rPr>
              <w:t>Mediq</w:t>
            </w:r>
            <w:proofErr w:type="spellEnd"/>
            <w:r w:rsidRPr="0012716C">
              <w:rPr>
                <w:rFonts w:ascii="Times New Roman" w:hAnsi="Times New Roman"/>
                <w:sz w:val="22"/>
                <w:szCs w:val="22"/>
              </w:rPr>
              <w:t xml:space="preserve"> Latvija” </w:t>
            </w:r>
          </w:p>
        </w:tc>
        <w:tc>
          <w:tcPr>
            <w:tcW w:w="1140" w:type="pct"/>
          </w:tcPr>
          <w:p w:rsidR="00ED6C5D" w:rsidRPr="00ED6C5D" w:rsidRDefault="00ED6C5D" w:rsidP="00ED6C5D">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C30793" w:rsidRPr="00ED6C5D" w:rsidRDefault="00C30793" w:rsidP="00C30793">
            <w:pPr>
              <w:contextualSpacing/>
              <w:jc w:val="both"/>
              <w:rPr>
                <w:rFonts w:ascii="Times New Roman" w:hAnsi="Times New Roman"/>
                <w:sz w:val="22"/>
                <w:szCs w:val="22"/>
              </w:rPr>
            </w:pPr>
            <w:r w:rsidRPr="0012716C">
              <w:rPr>
                <w:rFonts w:ascii="Times New Roman" w:hAnsi="Times New Roman"/>
                <w:sz w:val="22"/>
                <w:szCs w:val="22"/>
              </w:rPr>
              <w:t xml:space="preserve">4.daļa - </w:t>
            </w:r>
            <w:r w:rsidRPr="0012716C">
              <w:rPr>
                <w:rFonts w:ascii="Times New Roman" w:eastAsia="Times New Roman" w:hAnsi="Times New Roman"/>
                <w:bCs/>
                <w:i/>
                <w:iCs/>
                <w:sz w:val="22"/>
                <w:szCs w:val="22"/>
                <w:lang w:eastAsia="en-US"/>
              </w:rPr>
              <w:t>Vakuuma sirds imobilizācijas ierīces ar piederumiem</w:t>
            </w:r>
          </w:p>
        </w:tc>
        <w:tc>
          <w:tcPr>
            <w:tcW w:w="1220" w:type="pct"/>
          </w:tcPr>
          <w:p w:rsidR="00C30793" w:rsidRPr="00ED6C5D" w:rsidRDefault="00C30793" w:rsidP="00C30793">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C30793" w:rsidRPr="00ED6C5D" w:rsidRDefault="00C30793" w:rsidP="00C30793">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C30793" w:rsidRPr="00ED6C5D" w:rsidRDefault="00C30793" w:rsidP="00C30793">
            <w:pPr>
              <w:jc w:val="center"/>
              <w:rPr>
                <w:rFonts w:ascii="Times New Roman" w:hAnsi="Times New Roman"/>
                <w:sz w:val="22"/>
                <w:szCs w:val="22"/>
              </w:rPr>
            </w:pPr>
            <w:r w:rsidRPr="0012716C">
              <w:rPr>
                <w:rFonts w:ascii="Times New Roman" w:hAnsi="Times New Roman"/>
                <w:sz w:val="22"/>
                <w:szCs w:val="22"/>
              </w:rPr>
              <w:t>-</w:t>
            </w:r>
          </w:p>
        </w:tc>
      </w:tr>
      <w:tr w:rsidR="008A71DB" w:rsidRPr="0012716C" w:rsidTr="0012716C">
        <w:tc>
          <w:tcPr>
            <w:tcW w:w="1624" w:type="pct"/>
          </w:tcPr>
          <w:p w:rsidR="008A71DB" w:rsidRPr="0012716C" w:rsidRDefault="008A71DB" w:rsidP="008A71DB">
            <w:pPr>
              <w:contextualSpacing/>
              <w:jc w:val="both"/>
              <w:rPr>
                <w:rFonts w:ascii="Times New Roman" w:hAnsi="Times New Roman"/>
                <w:sz w:val="22"/>
                <w:szCs w:val="22"/>
              </w:rPr>
            </w:pPr>
            <w:r w:rsidRPr="0012716C">
              <w:rPr>
                <w:rFonts w:ascii="Times New Roman" w:hAnsi="Times New Roman"/>
                <w:sz w:val="22"/>
                <w:szCs w:val="22"/>
              </w:rPr>
              <w:t xml:space="preserve">5.daļa - </w:t>
            </w:r>
            <w:r w:rsidRPr="0012716C">
              <w:rPr>
                <w:rFonts w:ascii="Times New Roman" w:eastAsia="Times New Roman" w:hAnsi="Times New Roman"/>
                <w:bCs/>
                <w:i/>
                <w:iCs/>
                <w:sz w:val="22"/>
                <w:szCs w:val="22"/>
                <w:lang w:eastAsia="en-US"/>
              </w:rPr>
              <w:t xml:space="preserve">Kreisā kambara ilgtermiņa </w:t>
            </w:r>
            <w:proofErr w:type="spellStart"/>
            <w:r w:rsidRPr="0012716C">
              <w:rPr>
                <w:rFonts w:ascii="Times New Roman" w:eastAsia="Times New Roman" w:hAnsi="Times New Roman"/>
                <w:bCs/>
                <w:i/>
                <w:iCs/>
                <w:sz w:val="22"/>
                <w:szCs w:val="22"/>
                <w:lang w:eastAsia="en-US"/>
              </w:rPr>
              <w:t>palīgcirkulācijas</w:t>
            </w:r>
            <w:proofErr w:type="spellEnd"/>
            <w:r w:rsidRPr="0012716C">
              <w:rPr>
                <w:rFonts w:ascii="Times New Roman" w:eastAsia="Times New Roman" w:hAnsi="Times New Roman"/>
                <w:bCs/>
                <w:i/>
                <w:iCs/>
                <w:sz w:val="22"/>
                <w:szCs w:val="22"/>
                <w:lang w:eastAsia="en-US"/>
              </w:rPr>
              <w:t xml:space="preserve"> ierīce</w:t>
            </w:r>
          </w:p>
        </w:tc>
        <w:tc>
          <w:tcPr>
            <w:tcW w:w="1220" w:type="pct"/>
          </w:tcPr>
          <w:p w:rsidR="008A71DB" w:rsidRPr="0012716C" w:rsidRDefault="008A71DB" w:rsidP="008A71DB">
            <w:pPr>
              <w:jc w:val="both"/>
              <w:rPr>
                <w:rFonts w:ascii="Times New Roman" w:hAnsi="Times New Roman"/>
                <w:sz w:val="22"/>
                <w:szCs w:val="22"/>
              </w:rPr>
            </w:pPr>
            <w:r w:rsidRPr="0012716C">
              <w:rPr>
                <w:rFonts w:ascii="Times New Roman" w:hAnsi="Times New Roman"/>
                <w:sz w:val="22"/>
                <w:szCs w:val="22"/>
              </w:rPr>
              <w:t>UAB “PRO BUONO”</w:t>
            </w:r>
          </w:p>
        </w:tc>
        <w:tc>
          <w:tcPr>
            <w:tcW w:w="1016" w:type="pct"/>
          </w:tcPr>
          <w:p w:rsidR="008A71DB" w:rsidRPr="00ED6C5D" w:rsidRDefault="008A71DB" w:rsidP="008A71DB">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A71DB" w:rsidRPr="00ED6C5D" w:rsidRDefault="008A71DB" w:rsidP="008A71DB">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7.daļa - </w:t>
            </w:r>
            <w:proofErr w:type="spellStart"/>
            <w:r w:rsidRPr="0012716C">
              <w:rPr>
                <w:rFonts w:ascii="Times New Roman" w:hAnsi="Times New Roman"/>
                <w:i/>
                <w:sz w:val="22"/>
                <w:szCs w:val="22"/>
              </w:rPr>
              <w:t>Intraaortālās</w:t>
            </w:r>
            <w:proofErr w:type="spellEnd"/>
            <w:r w:rsidRPr="0012716C">
              <w:rPr>
                <w:rFonts w:ascii="Times New Roman" w:hAnsi="Times New Roman"/>
                <w:i/>
                <w:sz w:val="22"/>
                <w:szCs w:val="22"/>
              </w:rPr>
              <w:t xml:space="preserve"> </w:t>
            </w:r>
            <w:proofErr w:type="spellStart"/>
            <w:r w:rsidRPr="0012716C">
              <w:rPr>
                <w:rFonts w:ascii="Times New Roman" w:hAnsi="Times New Roman"/>
                <w:i/>
                <w:sz w:val="22"/>
                <w:szCs w:val="22"/>
              </w:rPr>
              <w:t>kontrapulsācijas</w:t>
            </w:r>
            <w:proofErr w:type="spellEnd"/>
            <w:r w:rsidRPr="0012716C">
              <w:rPr>
                <w:rFonts w:ascii="Times New Roman" w:hAnsi="Times New Roman"/>
                <w:i/>
                <w:sz w:val="22"/>
                <w:szCs w:val="22"/>
              </w:rPr>
              <w:t xml:space="preserve">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 xml:space="preserve">UAB “Ilsanta” filiāle </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10.daļa - </w:t>
            </w:r>
            <w:r w:rsidRPr="0012716C">
              <w:rPr>
                <w:rFonts w:ascii="Times New Roman" w:eastAsia="Times New Roman" w:hAnsi="Times New Roman"/>
                <w:bCs/>
                <w:i/>
                <w:iCs/>
                <w:sz w:val="22"/>
                <w:szCs w:val="22"/>
                <w:lang w:eastAsia="en-US"/>
              </w:rPr>
              <w:t>Aprīkojums mākslīgajai asinsritei 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VESSA MEDICAL OÜ</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12.daļa - </w:t>
            </w:r>
            <w:r w:rsidRPr="0012716C">
              <w:rPr>
                <w:rFonts w:ascii="Times New Roman" w:eastAsia="Times New Roman" w:hAnsi="Times New Roman"/>
                <w:bCs/>
                <w:i/>
                <w:iCs/>
                <w:sz w:val="22"/>
                <w:szCs w:val="22"/>
                <w:lang w:eastAsia="en-US"/>
              </w:rPr>
              <w:t>Aprīkojums mākslīgajai asinsritei III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VESSA MEDICAL OÜ</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13.daļa - </w:t>
            </w:r>
            <w:r w:rsidRPr="0012716C">
              <w:rPr>
                <w:rFonts w:ascii="Times New Roman" w:eastAsia="Times New Roman" w:hAnsi="Times New Roman"/>
                <w:bCs/>
                <w:i/>
                <w:iCs/>
                <w:sz w:val="22"/>
                <w:szCs w:val="22"/>
                <w:lang w:eastAsia="en-US"/>
              </w:rPr>
              <w:t>Aprīkojums mākslīgajai asinsritei IV</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UAB “PRO BUONO”</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14.daļa - </w:t>
            </w:r>
            <w:r w:rsidRPr="0012716C">
              <w:rPr>
                <w:rFonts w:ascii="Times New Roman" w:eastAsia="Times New Roman" w:hAnsi="Times New Roman"/>
                <w:bCs/>
                <w:i/>
                <w:iCs/>
                <w:sz w:val="22"/>
                <w:szCs w:val="22"/>
                <w:lang w:eastAsia="en-US"/>
              </w:rPr>
              <w:t>Aprīkojums mākslīgajai asinsritei V</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w:t>
            </w:r>
            <w:proofErr w:type="spellStart"/>
            <w:r w:rsidRPr="0012716C">
              <w:rPr>
                <w:rFonts w:ascii="Times New Roman" w:hAnsi="Times New Roman"/>
                <w:sz w:val="22"/>
                <w:szCs w:val="22"/>
              </w:rPr>
              <w:t>Medeksperts</w:t>
            </w:r>
            <w:proofErr w:type="spellEnd"/>
            <w:r w:rsidRPr="0012716C">
              <w:rPr>
                <w:rFonts w:ascii="Times New Roman" w:hAnsi="Times New Roman"/>
                <w:sz w:val="22"/>
                <w:szCs w:val="22"/>
              </w:rPr>
              <w:t>”</w:t>
            </w:r>
          </w:p>
        </w:tc>
        <w:tc>
          <w:tcPr>
            <w:tcW w:w="1016" w:type="pct"/>
          </w:tcPr>
          <w:p w:rsidR="008418B5" w:rsidRPr="0012716C" w:rsidRDefault="008418B5" w:rsidP="008418B5">
            <w:pPr>
              <w:jc w:val="center"/>
              <w:rPr>
                <w:rFonts w:ascii="Times New Roman" w:hAnsi="Times New Roman"/>
                <w:sz w:val="22"/>
                <w:szCs w:val="22"/>
              </w:rPr>
            </w:pPr>
            <w:r w:rsidRPr="0012716C">
              <w:rPr>
                <w:rFonts w:ascii="Times New Roman" w:hAnsi="Times New Roman"/>
                <w:sz w:val="22"/>
                <w:szCs w:val="22"/>
              </w:rPr>
              <w:t>VESSA MEDICAL OÜ</w:t>
            </w:r>
          </w:p>
        </w:tc>
        <w:tc>
          <w:tcPr>
            <w:tcW w:w="114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15.daļa - </w:t>
            </w:r>
            <w:r w:rsidRPr="0012716C">
              <w:rPr>
                <w:rFonts w:ascii="Times New Roman" w:eastAsia="Times New Roman" w:hAnsi="Times New Roman"/>
                <w:bCs/>
                <w:i/>
                <w:iCs/>
                <w:sz w:val="22"/>
                <w:szCs w:val="22"/>
                <w:lang w:eastAsia="en-US"/>
              </w:rPr>
              <w:t>Philips monitoru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w:t>
            </w:r>
            <w:proofErr w:type="spellStart"/>
            <w:r w:rsidRPr="0012716C">
              <w:rPr>
                <w:rFonts w:ascii="Times New Roman" w:hAnsi="Times New Roman"/>
                <w:sz w:val="22"/>
                <w:szCs w:val="22"/>
              </w:rPr>
              <w:t>Arbor</w:t>
            </w:r>
            <w:proofErr w:type="spellEnd"/>
            <w:r w:rsidRPr="0012716C">
              <w:rPr>
                <w:rFonts w:ascii="Times New Roman" w:hAnsi="Times New Roman"/>
                <w:sz w:val="22"/>
                <w:szCs w:val="22"/>
              </w:rPr>
              <w:t xml:space="preserve"> Medical Korporācija”</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16.daļa - </w:t>
            </w:r>
            <w:proofErr w:type="spellStart"/>
            <w:r w:rsidRPr="0012716C">
              <w:rPr>
                <w:rFonts w:ascii="Times New Roman" w:eastAsia="Times New Roman" w:hAnsi="Times New Roman"/>
                <w:bCs/>
                <w:i/>
                <w:iCs/>
                <w:sz w:val="22"/>
                <w:szCs w:val="22"/>
                <w:lang w:eastAsia="en-US"/>
              </w:rPr>
              <w:t>Metronic</w:t>
            </w:r>
            <w:proofErr w:type="spellEnd"/>
            <w:r w:rsidRPr="0012716C">
              <w:rPr>
                <w:rFonts w:ascii="Times New Roman" w:eastAsia="Times New Roman" w:hAnsi="Times New Roman"/>
                <w:bCs/>
                <w:i/>
                <w:iCs/>
                <w:sz w:val="22"/>
                <w:szCs w:val="22"/>
                <w:lang w:eastAsia="en-US"/>
              </w:rPr>
              <w:t xml:space="preserve"> iekārtu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17.daļa - </w:t>
            </w:r>
            <w:proofErr w:type="spellStart"/>
            <w:r w:rsidRPr="0012716C">
              <w:rPr>
                <w:rFonts w:ascii="Times New Roman" w:eastAsia="Times New Roman" w:hAnsi="Times New Roman"/>
                <w:bCs/>
                <w:i/>
                <w:iCs/>
                <w:sz w:val="22"/>
                <w:szCs w:val="22"/>
                <w:lang w:eastAsia="en-US"/>
              </w:rPr>
              <w:t>Medistim</w:t>
            </w:r>
            <w:proofErr w:type="spellEnd"/>
            <w:r w:rsidRPr="0012716C">
              <w:rPr>
                <w:rFonts w:ascii="Times New Roman" w:eastAsia="Times New Roman" w:hAnsi="Times New Roman"/>
                <w:bCs/>
                <w:i/>
                <w:iCs/>
                <w:sz w:val="22"/>
                <w:szCs w:val="22"/>
                <w:lang w:eastAsia="en-US"/>
              </w:rPr>
              <w:t xml:space="preserve"> iekārtu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18.daļa - </w:t>
            </w:r>
            <w:r w:rsidRPr="0012716C">
              <w:rPr>
                <w:rFonts w:ascii="Times New Roman" w:eastAsia="Times New Roman" w:hAnsi="Times New Roman"/>
                <w:bCs/>
                <w:i/>
                <w:iCs/>
                <w:sz w:val="22"/>
                <w:szCs w:val="22"/>
                <w:lang w:eastAsia="en-US"/>
              </w:rPr>
              <w:t xml:space="preserve">Andersen </w:t>
            </w:r>
            <w:proofErr w:type="spellStart"/>
            <w:r w:rsidRPr="0012716C">
              <w:rPr>
                <w:rFonts w:ascii="Times New Roman" w:eastAsia="Times New Roman" w:hAnsi="Times New Roman"/>
                <w:bCs/>
                <w:i/>
                <w:iCs/>
                <w:sz w:val="22"/>
                <w:szCs w:val="22"/>
                <w:lang w:eastAsia="en-US"/>
              </w:rPr>
              <w:t>Sterilizers</w:t>
            </w:r>
            <w:proofErr w:type="spellEnd"/>
            <w:r w:rsidRPr="0012716C">
              <w:rPr>
                <w:rFonts w:ascii="Times New Roman" w:eastAsia="Times New Roman" w:hAnsi="Times New Roman"/>
                <w:bCs/>
                <w:i/>
                <w:iCs/>
                <w:sz w:val="22"/>
                <w:szCs w:val="22"/>
                <w:lang w:eastAsia="en-US"/>
              </w:rPr>
              <w:t xml:space="preserve"> iekārtu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19.daļa - </w:t>
            </w:r>
            <w:proofErr w:type="spellStart"/>
            <w:r w:rsidRPr="0012716C">
              <w:rPr>
                <w:rFonts w:ascii="Times New Roman" w:eastAsia="Times New Roman" w:hAnsi="Times New Roman"/>
                <w:bCs/>
                <w:i/>
                <w:iCs/>
                <w:sz w:val="22"/>
                <w:szCs w:val="22"/>
                <w:lang w:eastAsia="en-US"/>
              </w:rPr>
              <w:t>Pulsion</w:t>
            </w:r>
            <w:proofErr w:type="spellEnd"/>
            <w:r w:rsidRPr="0012716C">
              <w:rPr>
                <w:rFonts w:ascii="Times New Roman" w:eastAsia="Times New Roman" w:hAnsi="Times New Roman"/>
                <w:bCs/>
                <w:i/>
                <w:iCs/>
                <w:sz w:val="22"/>
                <w:szCs w:val="22"/>
                <w:lang w:eastAsia="en-US"/>
              </w:rPr>
              <w:t xml:space="preserve"> iekārtu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20.daļa - </w:t>
            </w:r>
            <w:proofErr w:type="spellStart"/>
            <w:r w:rsidRPr="0012716C">
              <w:rPr>
                <w:rFonts w:ascii="Times New Roman" w:eastAsia="Times New Roman" w:hAnsi="Times New Roman"/>
                <w:bCs/>
                <w:i/>
                <w:iCs/>
                <w:sz w:val="22"/>
                <w:szCs w:val="22"/>
                <w:lang w:eastAsia="en-US"/>
              </w:rPr>
              <w:t>Edwards</w:t>
            </w:r>
            <w:proofErr w:type="spellEnd"/>
            <w:r w:rsidRPr="0012716C">
              <w:rPr>
                <w:rFonts w:ascii="Times New Roman" w:eastAsia="Times New Roman" w:hAnsi="Times New Roman"/>
                <w:bCs/>
                <w:i/>
                <w:iCs/>
                <w:sz w:val="22"/>
                <w:szCs w:val="22"/>
                <w:lang w:eastAsia="en-US"/>
              </w:rPr>
              <w:t xml:space="preserve"> </w:t>
            </w:r>
            <w:proofErr w:type="spellStart"/>
            <w:r w:rsidRPr="0012716C">
              <w:rPr>
                <w:rFonts w:ascii="Times New Roman" w:eastAsia="Times New Roman" w:hAnsi="Times New Roman"/>
                <w:bCs/>
                <w:i/>
                <w:iCs/>
                <w:sz w:val="22"/>
                <w:szCs w:val="22"/>
                <w:lang w:eastAsia="en-US"/>
              </w:rPr>
              <w:t>Lifesciences</w:t>
            </w:r>
            <w:proofErr w:type="spellEnd"/>
            <w:r w:rsidRPr="0012716C">
              <w:rPr>
                <w:rFonts w:ascii="Times New Roman" w:eastAsia="Times New Roman" w:hAnsi="Times New Roman"/>
                <w:bCs/>
                <w:i/>
                <w:iCs/>
                <w:sz w:val="22"/>
                <w:szCs w:val="22"/>
                <w:lang w:eastAsia="en-US"/>
              </w:rPr>
              <w:t xml:space="preserve"> iekārtu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w:t>
            </w:r>
            <w:proofErr w:type="spellStart"/>
            <w:r w:rsidRPr="0012716C">
              <w:rPr>
                <w:rFonts w:ascii="Times New Roman" w:hAnsi="Times New Roman"/>
                <w:sz w:val="22"/>
                <w:szCs w:val="22"/>
              </w:rPr>
              <w:t>Mediq</w:t>
            </w:r>
            <w:proofErr w:type="spellEnd"/>
            <w:r w:rsidRPr="0012716C">
              <w:rPr>
                <w:rFonts w:ascii="Times New Roman" w:hAnsi="Times New Roman"/>
                <w:sz w:val="22"/>
                <w:szCs w:val="22"/>
              </w:rPr>
              <w:t xml:space="preserve"> Latvija”</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lastRenderedPageBreak/>
              <w:t xml:space="preserve">21.daļa - </w:t>
            </w:r>
            <w:proofErr w:type="spellStart"/>
            <w:r w:rsidRPr="0012716C">
              <w:rPr>
                <w:rFonts w:ascii="Times New Roman" w:eastAsia="Times New Roman" w:hAnsi="Times New Roman"/>
                <w:bCs/>
                <w:i/>
                <w:iCs/>
                <w:sz w:val="22"/>
                <w:szCs w:val="22"/>
                <w:lang w:eastAsia="en-US"/>
              </w:rPr>
              <w:t>Smiths</w:t>
            </w:r>
            <w:proofErr w:type="spellEnd"/>
            <w:r w:rsidRPr="0012716C">
              <w:rPr>
                <w:rFonts w:ascii="Times New Roman" w:eastAsia="Times New Roman" w:hAnsi="Times New Roman"/>
                <w:bCs/>
                <w:i/>
                <w:iCs/>
                <w:sz w:val="22"/>
                <w:szCs w:val="22"/>
                <w:lang w:eastAsia="en-US"/>
              </w:rPr>
              <w:t xml:space="preserve"> Medical iekārtu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23.daļa - </w:t>
            </w:r>
            <w:proofErr w:type="spellStart"/>
            <w:r w:rsidRPr="0012716C">
              <w:rPr>
                <w:rFonts w:ascii="Times New Roman" w:eastAsia="Times New Roman" w:hAnsi="Times New Roman"/>
                <w:bCs/>
                <w:i/>
                <w:iCs/>
                <w:sz w:val="22"/>
                <w:szCs w:val="22"/>
                <w:lang w:eastAsia="en-US"/>
              </w:rPr>
              <w:t>Physio</w:t>
            </w:r>
            <w:proofErr w:type="spellEnd"/>
            <w:r w:rsidRPr="0012716C">
              <w:rPr>
                <w:rFonts w:ascii="Times New Roman" w:eastAsia="Times New Roman" w:hAnsi="Times New Roman"/>
                <w:bCs/>
                <w:i/>
                <w:iCs/>
                <w:sz w:val="22"/>
                <w:szCs w:val="22"/>
                <w:lang w:eastAsia="en-US"/>
              </w:rPr>
              <w:t xml:space="preserve"> </w:t>
            </w:r>
            <w:proofErr w:type="spellStart"/>
            <w:r w:rsidRPr="0012716C">
              <w:rPr>
                <w:rFonts w:ascii="Times New Roman" w:eastAsia="Times New Roman" w:hAnsi="Times New Roman"/>
                <w:bCs/>
                <w:i/>
                <w:iCs/>
                <w:sz w:val="22"/>
                <w:szCs w:val="22"/>
                <w:lang w:eastAsia="en-US"/>
              </w:rPr>
              <w:t>Control</w:t>
            </w:r>
            <w:proofErr w:type="spellEnd"/>
            <w:r w:rsidRPr="0012716C">
              <w:rPr>
                <w:rFonts w:ascii="Times New Roman" w:eastAsia="Times New Roman" w:hAnsi="Times New Roman"/>
                <w:bCs/>
                <w:i/>
                <w:iCs/>
                <w:sz w:val="22"/>
                <w:szCs w:val="22"/>
                <w:lang w:eastAsia="en-US"/>
              </w:rPr>
              <w:t xml:space="preserve"> iekārtu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12716C" w:rsidRPr="0012716C" w:rsidTr="0012716C">
        <w:tc>
          <w:tcPr>
            <w:tcW w:w="1624" w:type="pct"/>
          </w:tcPr>
          <w:p w:rsidR="0012716C" w:rsidRPr="0012716C" w:rsidRDefault="0012716C" w:rsidP="0012716C">
            <w:pPr>
              <w:contextualSpacing/>
              <w:jc w:val="both"/>
              <w:rPr>
                <w:rFonts w:ascii="Times New Roman" w:hAnsi="Times New Roman"/>
                <w:sz w:val="22"/>
                <w:szCs w:val="22"/>
              </w:rPr>
            </w:pPr>
            <w:r w:rsidRPr="0012716C">
              <w:rPr>
                <w:rFonts w:ascii="Times New Roman" w:hAnsi="Times New Roman"/>
                <w:sz w:val="22"/>
                <w:szCs w:val="22"/>
              </w:rPr>
              <w:t xml:space="preserve">24.daļa - </w:t>
            </w:r>
            <w:proofErr w:type="spellStart"/>
            <w:r w:rsidRPr="0012716C">
              <w:rPr>
                <w:rFonts w:ascii="Times New Roman" w:eastAsia="Times New Roman" w:hAnsi="Times New Roman"/>
                <w:bCs/>
                <w:i/>
                <w:iCs/>
                <w:sz w:val="22"/>
                <w:szCs w:val="22"/>
                <w:lang w:eastAsia="en-US"/>
              </w:rPr>
              <w:t>Levatronix</w:t>
            </w:r>
            <w:proofErr w:type="spellEnd"/>
            <w:r w:rsidRPr="0012716C">
              <w:rPr>
                <w:rFonts w:ascii="Times New Roman" w:eastAsia="Times New Roman" w:hAnsi="Times New Roman"/>
                <w:bCs/>
                <w:i/>
                <w:iCs/>
                <w:sz w:val="22"/>
                <w:szCs w:val="22"/>
                <w:lang w:eastAsia="en-US"/>
              </w:rPr>
              <w:t xml:space="preserve"> iekārtas sistēma</w:t>
            </w:r>
          </w:p>
        </w:tc>
        <w:tc>
          <w:tcPr>
            <w:tcW w:w="1220" w:type="pct"/>
          </w:tcPr>
          <w:p w:rsidR="0012716C" w:rsidRPr="0012716C" w:rsidRDefault="0012716C" w:rsidP="0012716C">
            <w:pPr>
              <w:jc w:val="both"/>
              <w:rPr>
                <w:rFonts w:ascii="Times New Roman" w:hAnsi="Times New Roman"/>
                <w:sz w:val="22"/>
                <w:szCs w:val="22"/>
              </w:rPr>
            </w:pPr>
            <w:r w:rsidRPr="0012716C">
              <w:rPr>
                <w:rFonts w:ascii="Times New Roman" w:hAnsi="Times New Roman"/>
                <w:sz w:val="22"/>
                <w:szCs w:val="22"/>
              </w:rPr>
              <w:t>UAB “PRO BUONO”</w:t>
            </w:r>
          </w:p>
        </w:tc>
        <w:tc>
          <w:tcPr>
            <w:tcW w:w="1016" w:type="pct"/>
          </w:tcPr>
          <w:p w:rsidR="0012716C" w:rsidRPr="00ED6C5D" w:rsidRDefault="0012716C" w:rsidP="0012716C">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12716C" w:rsidRPr="00ED6C5D" w:rsidRDefault="0012716C" w:rsidP="0012716C">
            <w:pPr>
              <w:jc w:val="center"/>
              <w:rPr>
                <w:rFonts w:ascii="Times New Roman" w:hAnsi="Times New Roman"/>
                <w:sz w:val="22"/>
                <w:szCs w:val="22"/>
              </w:rPr>
            </w:pPr>
            <w:r w:rsidRPr="0012716C">
              <w:rPr>
                <w:rFonts w:ascii="Times New Roman" w:hAnsi="Times New Roman"/>
                <w:sz w:val="22"/>
                <w:szCs w:val="22"/>
              </w:rPr>
              <w:t>-</w:t>
            </w:r>
          </w:p>
        </w:tc>
      </w:tr>
      <w:tr w:rsidR="0012716C" w:rsidRPr="0012716C" w:rsidTr="0012716C">
        <w:tc>
          <w:tcPr>
            <w:tcW w:w="1624" w:type="pct"/>
          </w:tcPr>
          <w:p w:rsidR="0012716C" w:rsidRPr="0012716C" w:rsidRDefault="0012716C" w:rsidP="0012716C">
            <w:pPr>
              <w:contextualSpacing/>
              <w:jc w:val="both"/>
              <w:rPr>
                <w:rFonts w:ascii="Times New Roman" w:hAnsi="Times New Roman"/>
                <w:sz w:val="22"/>
                <w:szCs w:val="22"/>
              </w:rPr>
            </w:pPr>
            <w:r w:rsidRPr="0012716C">
              <w:rPr>
                <w:rFonts w:ascii="Times New Roman" w:hAnsi="Times New Roman"/>
                <w:sz w:val="22"/>
                <w:szCs w:val="22"/>
              </w:rPr>
              <w:t xml:space="preserve">25.daļa - </w:t>
            </w:r>
            <w:proofErr w:type="spellStart"/>
            <w:r w:rsidRPr="0012716C">
              <w:rPr>
                <w:rFonts w:ascii="Times New Roman" w:eastAsia="Times New Roman" w:hAnsi="Times New Roman"/>
                <w:bCs/>
                <w:i/>
                <w:iCs/>
                <w:sz w:val="22"/>
                <w:szCs w:val="22"/>
                <w:lang w:eastAsia="en-US"/>
              </w:rPr>
              <w:t>Stockert</w:t>
            </w:r>
            <w:proofErr w:type="spellEnd"/>
            <w:r w:rsidRPr="0012716C">
              <w:rPr>
                <w:rFonts w:ascii="Times New Roman" w:eastAsia="Times New Roman" w:hAnsi="Times New Roman"/>
                <w:bCs/>
                <w:i/>
                <w:iCs/>
                <w:sz w:val="22"/>
                <w:szCs w:val="22"/>
                <w:lang w:eastAsia="en-US"/>
              </w:rPr>
              <w:t xml:space="preserve"> iekārtu piederumi</w:t>
            </w:r>
          </w:p>
        </w:tc>
        <w:tc>
          <w:tcPr>
            <w:tcW w:w="1220" w:type="pct"/>
          </w:tcPr>
          <w:p w:rsidR="0012716C" w:rsidRPr="0012716C" w:rsidRDefault="0012716C" w:rsidP="0012716C">
            <w:pPr>
              <w:jc w:val="both"/>
              <w:rPr>
                <w:rFonts w:ascii="Times New Roman" w:hAnsi="Times New Roman"/>
                <w:sz w:val="22"/>
                <w:szCs w:val="22"/>
              </w:rPr>
            </w:pPr>
            <w:r w:rsidRPr="0012716C">
              <w:rPr>
                <w:rFonts w:ascii="Times New Roman" w:hAnsi="Times New Roman"/>
                <w:sz w:val="22"/>
                <w:szCs w:val="22"/>
              </w:rPr>
              <w:t>UAB “PRO BUONO”</w:t>
            </w:r>
          </w:p>
        </w:tc>
        <w:tc>
          <w:tcPr>
            <w:tcW w:w="1016" w:type="pct"/>
          </w:tcPr>
          <w:p w:rsidR="0012716C" w:rsidRPr="00ED6C5D" w:rsidRDefault="0012716C" w:rsidP="0012716C">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12716C" w:rsidRPr="00ED6C5D" w:rsidRDefault="0012716C" w:rsidP="0012716C">
            <w:pPr>
              <w:jc w:val="center"/>
              <w:rPr>
                <w:rFonts w:ascii="Times New Roman" w:hAnsi="Times New Roman"/>
                <w:sz w:val="22"/>
                <w:szCs w:val="22"/>
              </w:rPr>
            </w:pPr>
            <w:r w:rsidRPr="0012716C">
              <w:rPr>
                <w:rFonts w:ascii="Times New Roman" w:hAnsi="Times New Roman"/>
                <w:sz w:val="22"/>
                <w:szCs w:val="22"/>
              </w:rPr>
              <w:t>-</w:t>
            </w:r>
          </w:p>
        </w:tc>
      </w:tr>
    </w:tbl>
    <w:p w:rsidR="00ED6C5D" w:rsidRPr="00ED6C5D" w:rsidRDefault="00ED6C5D" w:rsidP="00ED6C5D">
      <w:pPr>
        <w:suppressAutoHyphens/>
        <w:autoSpaceDN w:val="0"/>
        <w:spacing w:after="0" w:line="240" w:lineRule="auto"/>
        <w:textAlignment w:val="baseline"/>
        <w:rPr>
          <w:rFonts w:ascii="Times New Roman" w:eastAsia="Times New Roman" w:hAnsi="Times New Roman" w:cs="Times New Roman"/>
          <w:bCs/>
        </w:rPr>
      </w:pPr>
    </w:p>
    <w:p w:rsidR="00ED6C5D" w:rsidRPr="00ED6C5D" w:rsidRDefault="00ED6C5D" w:rsidP="00ED6C5D">
      <w:pPr>
        <w:jc w:val="center"/>
        <w:rPr>
          <w:rFonts w:ascii="Times New Roman" w:hAnsi="Times New Roman" w:cs="Times New Roman"/>
          <w:sz w:val="24"/>
          <w:szCs w:val="24"/>
        </w:rPr>
      </w:pPr>
    </w:p>
    <w:sectPr w:rsidR="00ED6C5D" w:rsidRPr="00ED6C5D" w:rsidSect="00071E64">
      <w:pgSz w:w="16838" w:h="11906" w:orient="landscape"/>
      <w:pgMar w:top="1797" w:right="1440" w:bottom="179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A86" w:rsidRDefault="001F0A86" w:rsidP="00DE110D">
      <w:pPr>
        <w:spacing w:after="0" w:line="240" w:lineRule="auto"/>
      </w:pPr>
      <w:r>
        <w:separator/>
      </w:r>
    </w:p>
  </w:endnote>
  <w:endnote w:type="continuationSeparator" w:id="0">
    <w:p w:rsidR="001F0A86" w:rsidRDefault="001F0A86" w:rsidP="00DE1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258900"/>
      <w:docPartObj>
        <w:docPartGallery w:val="Page Numbers (Bottom of Page)"/>
        <w:docPartUnique/>
      </w:docPartObj>
    </w:sdtPr>
    <w:sdtEndPr>
      <w:rPr>
        <w:noProof/>
      </w:rPr>
    </w:sdtEndPr>
    <w:sdtContent>
      <w:p w:rsidR="002B6AD4" w:rsidRDefault="002B6AD4">
        <w:pPr>
          <w:pStyle w:val="Footer"/>
          <w:jc w:val="center"/>
        </w:pPr>
        <w:r>
          <w:fldChar w:fldCharType="begin"/>
        </w:r>
        <w:r>
          <w:instrText xml:space="preserve"> PAGE   \* MERGEFORMAT </w:instrText>
        </w:r>
        <w:r>
          <w:fldChar w:fldCharType="separate"/>
        </w:r>
        <w:r w:rsidR="000B65C4">
          <w:rPr>
            <w:noProof/>
          </w:rPr>
          <w:t>7</w:t>
        </w:r>
        <w:r>
          <w:rPr>
            <w:noProof/>
          </w:rPr>
          <w:fldChar w:fldCharType="end"/>
        </w:r>
      </w:p>
    </w:sdtContent>
  </w:sdt>
  <w:p w:rsidR="002B6AD4" w:rsidRDefault="002B6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A86" w:rsidRDefault="001F0A86" w:rsidP="00DE110D">
      <w:pPr>
        <w:spacing w:after="0" w:line="240" w:lineRule="auto"/>
      </w:pPr>
      <w:r>
        <w:separator/>
      </w:r>
    </w:p>
  </w:footnote>
  <w:footnote w:type="continuationSeparator" w:id="0">
    <w:p w:rsidR="001F0A86" w:rsidRDefault="001F0A86" w:rsidP="00DE11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47870D7"/>
    <w:multiLevelType w:val="hybridMultilevel"/>
    <w:tmpl w:val="06402C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7B5"/>
    <w:rsid w:val="000325F9"/>
    <w:rsid w:val="00071E64"/>
    <w:rsid w:val="000B65C4"/>
    <w:rsid w:val="000D47B5"/>
    <w:rsid w:val="001216DE"/>
    <w:rsid w:val="0012716C"/>
    <w:rsid w:val="001625EE"/>
    <w:rsid w:val="001F0A86"/>
    <w:rsid w:val="002035DE"/>
    <w:rsid w:val="00252F7C"/>
    <w:rsid w:val="002B6AD4"/>
    <w:rsid w:val="00355B98"/>
    <w:rsid w:val="003A610A"/>
    <w:rsid w:val="00436D8A"/>
    <w:rsid w:val="00450C59"/>
    <w:rsid w:val="00473151"/>
    <w:rsid w:val="00493E93"/>
    <w:rsid w:val="00520FCC"/>
    <w:rsid w:val="006C6423"/>
    <w:rsid w:val="00727CC1"/>
    <w:rsid w:val="00731C90"/>
    <w:rsid w:val="007668A7"/>
    <w:rsid w:val="007C1F50"/>
    <w:rsid w:val="007C2459"/>
    <w:rsid w:val="00805929"/>
    <w:rsid w:val="008418B5"/>
    <w:rsid w:val="0085631A"/>
    <w:rsid w:val="008A71DB"/>
    <w:rsid w:val="009011C4"/>
    <w:rsid w:val="00946420"/>
    <w:rsid w:val="009A1819"/>
    <w:rsid w:val="00A508EE"/>
    <w:rsid w:val="00AD6594"/>
    <w:rsid w:val="00B21D2A"/>
    <w:rsid w:val="00B8264A"/>
    <w:rsid w:val="00BA3E7A"/>
    <w:rsid w:val="00C0580D"/>
    <w:rsid w:val="00C30793"/>
    <w:rsid w:val="00C56864"/>
    <w:rsid w:val="00C914E6"/>
    <w:rsid w:val="00D549CF"/>
    <w:rsid w:val="00D9294D"/>
    <w:rsid w:val="00DE110D"/>
    <w:rsid w:val="00DE2A6E"/>
    <w:rsid w:val="00E52CBD"/>
    <w:rsid w:val="00ED6C5D"/>
    <w:rsid w:val="00F310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6DB36"/>
  <w15:docId w15:val="{697F5F51-DE98-4B20-BA09-F9B1882B6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10D"/>
    <w:pPr>
      <w:tabs>
        <w:tab w:val="center" w:pos="4153"/>
        <w:tab w:val="right" w:pos="8306"/>
      </w:tabs>
      <w:spacing w:after="0" w:line="240" w:lineRule="auto"/>
    </w:pPr>
  </w:style>
  <w:style w:type="character" w:customStyle="1" w:styleId="HeaderChar">
    <w:name w:val="Header Char"/>
    <w:basedOn w:val="DefaultParagraphFont"/>
    <w:link w:val="Header"/>
    <w:uiPriority w:val="99"/>
    <w:rsid w:val="00DE110D"/>
  </w:style>
  <w:style w:type="paragraph" w:styleId="Footer">
    <w:name w:val="footer"/>
    <w:basedOn w:val="Normal"/>
    <w:link w:val="FooterChar"/>
    <w:uiPriority w:val="99"/>
    <w:unhideWhenUsed/>
    <w:rsid w:val="00DE110D"/>
    <w:pPr>
      <w:tabs>
        <w:tab w:val="center" w:pos="4153"/>
        <w:tab w:val="right" w:pos="8306"/>
      </w:tabs>
      <w:spacing w:after="0" w:line="240" w:lineRule="auto"/>
    </w:pPr>
  </w:style>
  <w:style w:type="character" w:customStyle="1" w:styleId="FooterChar">
    <w:name w:val="Footer Char"/>
    <w:basedOn w:val="DefaultParagraphFont"/>
    <w:link w:val="Footer"/>
    <w:uiPriority w:val="99"/>
    <w:rsid w:val="00DE110D"/>
  </w:style>
  <w:style w:type="paragraph" w:styleId="ListParagraph">
    <w:name w:val="List Paragraph"/>
    <w:basedOn w:val="Normal"/>
    <w:uiPriority w:val="34"/>
    <w:qFormat/>
    <w:rsid w:val="00DE2A6E"/>
    <w:pPr>
      <w:ind w:left="720"/>
      <w:contextualSpacing/>
    </w:pPr>
  </w:style>
  <w:style w:type="table" w:customStyle="1" w:styleId="TableGrid7">
    <w:name w:val="Table Grid7"/>
    <w:basedOn w:val="TableNormal"/>
    <w:next w:val="TableGrid"/>
    <w:uiPriority w:val="59"/>
    <w:rsid w:val="00DE2A6E"/>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E2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7</Pages>
  <Words>9798</Words>
  <Characters>5586</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MED#EKSPERTS</Company>
  <LinksUpToDate>false</LinksUpToDate>
  <CharactersWithSpaces>15354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17</cp:revision>
  <dcterms:created xsi:type="dcterms:W3CDTF">2017-11-14T12:59:00Z</dcterms:created>
  <dcterms:modified xsi:type="dcterms:W3CDTF">2017-12-06T09:02:00Z</dcterms:modified>
</cp:coreProperties>
</file>