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14:paraId="3ACD5E80" w14:textId="77777777" w:rsidTr="00F12CA4">
        <w:trPr>
          <w:trHeight w:val="803"/>
        </w:trPr>
        <w:tc>
          <w:tcPr>
            <w:tcW w:w="9759" w:type="dxa"/>
            <w:tcBorders>
              <w:top w:val="nil"/>
              <w:left w:val="nil"/>
              <w:bottom w:val="nil"/>
              <w:right w:val="nil"/>
            </w:tcBorders>
          </w:tcPr>
          <w:p w14:paraId="2CEF426C" w14:textId="77777777"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14:paraId="71D3F38F" w14:textId="2A779DCB"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VISPĀRĪGĀ VIENOŠANĀS Nr.</w:t>
            </w:r>
            <w:r w:rsidR="00F8023C">
              <w:rPr>
                <w:rFonts w:ascii="Times New Roman" w:eastAsia="Times New Roman" w:hAnsi="Times New Roman" w:cs="Times New Roman"/>
                <w:b/>
                <w:sz w:val="24"/>
                <w:szCs w:val="24"/>
                <w:lang w:eastAsia="lv-LV"/>
              </w:rPr>
              <w:t xml:space="preserve"> SKUS 449/19-VV</w:t>
            </w:r>
          </w:p>
          <w:p w14:paraId="6B33BC58" w14:textId="77777777"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14:paraId="4D114C71" w14:textId="77777777" w:rsidTr="00F12CA4">
        <w:trPr>
          <w:trHeight w:val="453"/>
        </w:trPr>
        <w:tc>
          <w:tcPr>
            <w:tcW w:w="9759" w:type="dxa"/>
            <w:tcBorders>
              <w:top w:val="nil"/>
              <w:left w:val="nil"/>
              <w:bottom w:val="nil"/>
              <w:right w:val="nil"/>
            </w:tcBorders>
          </w:tcPr>
          <w:p w14:paraId="73AF28F1" w14:textId="77777777"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14:paraId="21C29A97" w14:textId="6D03CB6C"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F8023C">
              <w:rPr>
                <w:rFonts w:ascii="Times New Roman" w:eastAsia="Times New Roman" w:hAnsi="Times New Roman" w:cs="Times New Roman"/>
                <w:sz w:val="24"/>
                <w:szCs w:val="24"/>
                <w:lang w:eastAsia="lv-LV"/>
              </w:rPr>
              <w:t>3.septembrī</w:t>
            </w:r>
          </w:p>
          <w:p w14:paraId="41B16234" w14:textId="77777777"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2BAE65F1" w14:textId="77777777"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14:paraId="5C898EB0" w14:textId="6526004F" w:rsidR="00CA4972" w:rsidRPr="00CA4972" w:rsidRDefault="00340B55"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UAB</w:t>
      </w:r>
      <w:r w:rsidR="00CA4972" w:rsidRPr="00CA4972">
        <w:rPr>
          <w:rFonts w:ascii="Times New Roman" w:eastAsia="Times New Roman" w:hAnsi="Times New Roman" w:cs="Times New Roman"/>
          <w:b/>
          <w:bCs/>
          <w:sz w:val="24"/>
          <w:szCs w:val="24"/>
        </w:rPr>
        <w:t xml:space="preserve"> “</w:t>
      </w:r>
      <w:proofErr w:type="spellStart"/>
      <w:r w:rsidR="00615CE9">
        <w:rPr>
          <w:rFonts w:ascii="Times New Roman" w:eastAsia="Times New Roman" w:hAnsi="Times New Roman" w:cs="Times New Roman"/>
          <w:b/>
          <w:sz w:val="24"/>
          <w:szCs w:val="24"/>
        </w:rPr>
        <w:t>Formedics</w:t>
      </w:r>
      <w:proofErr w:type="spellEnd"/>
      <w:r w:rsidR="00CA4972" w:rsidRPr="00CA4972">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reģistrācijas Nr</w:t>
      </w:r>
      <w:r w:rsidR="00CA4972" w:rsidRPr="00D155DC">
        <w:rPr>
          <w:rFonts w:ascii="Times New Roman" w:eastAsia="Times New Roman" w:hAnsi="Times New Roman" w:cs="Times New Roman"/>
          <w:sz w:val="24"/>
          <w:szCs w:val="24"/>
        </w:rPr>
        <w:t xml:space="preserve">. </w:t>
      </w:r>
      <w:r w:rsidR="00615CE9" w:rsidRPr="00D155DC">
        <w:rPr>
          <w:rFonts w:ascii="Times New Roman" w:eastAsia="Times New Roman" w:hAnsi="Times New Roman" w:cs="Times New Roman"/>
          <w:sz w:val="24"/>
          <w:szCs w:val="24"/>
        </w:rPr>
        <w:t>124980311</w:t>
      </w:r>
      <w:r w:rsidR="00CA4972" w:rsidRPr="00CA4972">
        <w:rPr>
          <w:rFonts w:ascii="Times New Roman" w:eastAsia="Times New Roman" w:hAnsi="Times New Roman" w:cs="Times New Roman"/>
          <w:sz w:val="24"/>
          <w:szCs w:val="24"/>
        </w:rPr>
        <w:t>, tās</w:t>
      </w:r>
      <w:r w:rsidR="00955AEB" w:rsidRPr="002D6CDE">
        <w:rPr>
          <w:rFonts w:ascii="Times New Roman" w:eastAsia="Times New Roman" w:hAnsi="Times New Roman" w:cs="Times New Roman"/>
          <w:sz w:val="24"/>
          <w:szCs w:val="24"/>
        </w:rPr>
        <w:t xml:space="preserve"> </w:t>
      </w:r>
      <w:r w:rsidR="00D155DC">
        <w:rPr>
          <w:rFonts w:ascii="Times New Roman" w:eastAsia="Times New Roman" w:hAnsi="Times New Roman" w:cs="Times New Roman"/>
          <w:sz w:val="24"/>
          <w:szCs w:val="24"/>
        </w:rPr>
        <w:t xml:space="preserve">direktors </w:t>
      </w:r>
      <w:proofErr w:type="spellStart"/>
      <w:r w:rsidR="00D155DC">
        <w:rPr>
          <w:rFonts w:ascii="Times New Roman" w:eastAsia="Times New Roman" w:hAnsi="Times New Roman" w:cs="Times New Roman"/>
          <w:sz w:val="24"/>
          <w:szCs w:val="24"/>
        </w:rPr>
        <w:t>Vytautas</w:t>
      </w:r>
      <w:proofErr w:type="spellEnd"/>
      <w:r w:rsidR="00D155DC">
        <w:rPr>
          <w:rFonts w:ascii="Times New Roman" w:eastAsia="Times New Roman" w:hAnsi="Times New Roman" w:cs="Times New Roman"/>
          <w:sz w:val="24"/>
          <w:szCs w:val="24"/>
        </w:rPr>
        <w:t xml:space="preserve"> </w:t>
      </w:r>
      <w:proofErr w:type="spellStart"/>
      <w:r w:rsidR="00D155DC">
        <w:rPr>
          <w:rFonts w:ascii="Times New Roman" w:eastAsia="Times New Roman" w:hAnsi="Times New Roman" w:cs="Times New Roman"/>
          <w:sz w:val="24"/>
          <w:szCs w:val="24"/>
        </w:rPr>
        <w:t>Pranulis</w:t>
      </w:r>
      <w:proofErr w:type="spellEnd"/>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D155DC">
        <w:rPr>
          <w:rFonts w:ascii="Times New Roman" w:eastAsia="Times New Roman" w:hAnsi="Times New Roman" w:cs="Times New Roman"/>
          <w:sz w:val="24"/>
          <w:szCs w:val="24"/>
        </w:rPr>
        <w:t>Stat</w:t>
      </w:r>
      <w:r w:rsidR="00D155DC" w:rsidRPr="00C22BCA">
        <w:rPr>
          <w:rFonts w:ascii="Times New Roman" w:eastAsia="Times New Roman" w:hAnsi="Times New Roman" w:cs="Times New Roman"/>
          <w:color w:val="000000"/>
          <w:sz w:val="24"/>
          <w:szCs w:val="24"/>
        </w:rPr>
        <w:t>ū</w:t>
      </w:r>
      <w:r w:rsidR="00D155DC">
        <w:rPr>
          <w:rFonts w:ascii="Times New Roman" w:eastAsia="Times New Roman" w:hAnsi="Times New Roman" w:cs="Times New Roman"/>
          <w:sz w:val="24"/>
          <w:szCs w:val="24"/>
        </w:rPr>
        <w:t xml:space="preserve">tu </w:t>
      </w:r>
      <w:r w:rsidR="00CA4972" w:rsidRPr="00CA4972">
        <w:rPr>
          <w:rFonts w:ascii="Times New Roman" w:eastAsia="Times New Roman" w:hAnsi="Times New Roman" w:cs="Times New Roman"/>
          <w:sz w:val="24"/>
          <w:szCs w:val="24"/>
        </w:rPr>
        <w:t>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14:paraId="2433E25C" w14:textId="77777777"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14:paraId="757FB6E4" w14:textId="77777777"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14:paraId="3F983001" w14:textId="77777777"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14:paraId="4C7674D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14:paraId="776D848B"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14:paraId="3F82AEEC"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14:paraId="137D7944"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14:paraId="4FA1DDE6"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14:paraId="0FCAA33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6BE5171A" w14:textId="77777777"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14:paraId="4EB42646"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702D1F92"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14:paraId="0E21239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285E5183"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4569CE47"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14:paraId="071B62C5"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40A8E566"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14:paraId="2A755EFC"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14:paraId="73C9B6B8" w14:textId="77777777"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14:paraId="1C73B47F" w14:textId="77777777"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14:paraId="1DE02529"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14:paraId="3AFE5223"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49A1E40D"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14:paraId="62B6B0AB"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A48A2F"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14:paraId="6455DC6D"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4CF63A02"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1D1C3499"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14:paraId="5E1A8B33"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B5B1784"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14:paraId="30A203B0"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14:paraId="52743D85"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5068F533"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14:paraId="65939638"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69F6C360"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3AB21C55"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DF5B647"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14:paraId="365EB3FC"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6A2B9D7E"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2645C789"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5E04A7A9"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14:paraId="73A0F6E0" w14:textId="77777777" w:rsidR="00CA4972" w:rsidRPr="00CA4972" w:rsidRDefault="00CA4972" w:rsidP="00CA4972">
      <w:pPr>
        <w:spacing w:after="0" w:line="240" w:lineRule="auto"/>
        <w:ind w:left="561" w:right="51"/>
        <w:jc w:val="both"/>
        <w:rPr>
          <w:rFonts w:ascii="Calibri" w:eastAsia="Calibri" w:hAnsi="Calibri" w:cs="Times New Roman"/>
          <w:b/>
          <w:bCs/>
        </w:rPr>
      </w:pPr>
    </w:p>
    <w:p w14:paraId="012BF294"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14:paraId="0E05CD58"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14:paraId="0FA35794"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14:paraId="086386FF"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6D3EA5A2"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14:paraId="17653ADE"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21900E06"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2E76B893"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14:paraId="1B93A251"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14:paraId="09C6B8C6"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27AB3203"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6DAA6BC3"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14:paraId="3DF50D67" w14:textId="77777777"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14:paraId="7D10021B"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14:paraId="6A2DAFE8"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5C238E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70E367C"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4D05FE"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20EBBE0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14:paraId="0EE6342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306C0161"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3A7DC313"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14:paraId="05B18BC5"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074BAC35"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7D1A2419"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6EE7D1C9"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14:paraId="4E67EBDA"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03CFF054"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14:paraId="5B4369B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3C1302"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4FB21907"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7E77118F"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14:paraId="38E989FE"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14:paraId="725FB69A"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14:paraId="5CED3046" w14:textId="77777777"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14:paraId="1261D0DD"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14:paraId="4D96632F"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14:paraId="1D67E50F" w14:textId="77777777" w:rsidR="00CA4972" w:rsidRDefault="00CA4972" w:rsidP="00CA4972">
      <w:pPr>
        <w:spacing w:after="0" w:line="240" w:lineRule="auto"/>
        <w:ind w:right="-766"/>
        <w:jc w:val="both"/>
        <w:rPr>
          <w:rFonts w:ascii="Times New Roman" w:eastAsia="Times New Roman" w:hAnsi="Times New Roman" w:cs="Times New Roman"/>
          <w:bCs/>
          <w:sz w:val="24"/>
          <w:szCs w:val="24"/>
        </w:rPr>
      </w:pPr>
    </w:p>
    <w:p w14:paraId="35CB21E7"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4CE07043"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593F8FE8"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7680A1C0" w14:textId="77777777"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14:paraId="3FCA4739" w14:textId="77777777"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14:paraId="4E1B34F1" w14:textId="77777777"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14:paraId="0E9302C9" w14:textId="77777777" w:rsidTr="00F12CA4">
        <w:trPr>
          <w:trHeight w:val="104"/>
        </w:trPr>
        <w:tc>
          <w:tcPr>
            <w:tcW w:w="4463" w:type="dxa"/>
          </w:tcPr>
          <w:p w14:paraId="04CAD639"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748905EC"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47B517EF"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09640691"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5D5C9AE0"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44AE780A"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743FEA5A"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530E6CEA"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6B752E56"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097F9793" w14:textId="77777777"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14:paraId="7EE69F77"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708099DB"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109B49B1"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3066CAC4"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727D9545"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56D470A0"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2EF18E01"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03E19B14"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0106F229"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0284C299"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3A2A27CC"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14:paraId="7E4595A2" w14:textId="77777777"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14:paraId="4E8A553F" w14:textId="77777777"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2BF53338" w14:textId="77777777" w:rsidR="00B92A84" w:rsidRPr="00BB5756" w:rsidRDefault="00567250"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w:t>
            </w:r>
            <w:r w:rsidR="00615CE9">
              <w:rPr>
                <w:rFonts w:ascii="Times New Roman" w:eastAsia="Times New Roman" w:hAnsi="Times New Roman" w:cs="Times New Roman"/>
                <w:b/>
                <w:bCs/>
                <w:sz w:val="24"/>
                <w:szCs w:val="24"/>
                <w:lang w:val="lt-LT"/>
              </w:rPr>
              <w:t>Formedics</w:t>
            </w:r>
            <w:r>
              <w:rPr>
                <w:rFonts w:ascii="Times New Roman" w:eastAsia="Times New Roman" w:hAnsi="Times New Roman" w:cs="Times New Roman"/>
                <w:b/>
                <w:bCs/>
                <w:sz w:val="24"/>
                <w:szCs w:val="24"/>
                <w:lang w:val="lt-LT"/>
              </w:rPr>
              <w:t>“</w:t>
            </w:r>
          </w:p>
          <w:p w14:paraId="78BAC34E"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615CE9">
              <w:rPr>
                <w:rFonts w:ascii="Times New Roman" w:eastAsia="Times New Roman" w:hAnsi="Times New Roman" w:cs="Times New Roman"/>
                <w:bCs/>
                <w:sz w:val="24"/>
                <w:szCs w:val="24"/>
                <w:lang w:val="lt-LT"/>
              </w:rPr>
              <w:t>124980311</w:t>
            </w:r>
          </w:p>
          <w:p w14:paraId="2FE390FB" w14:textId="77777777" w:rsidR="00567250" w:rsidRPr="00567250" w:rsidRDefault="00615CE9" w:rsidP="0056725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Ratiliu</w:t>
            </w:r>
            <w:proofErr w:type="spellEnd"/>
            <w:r>
              <w:rPr>
                <w:rFonts w:ascii="Times New Roman" w:eastAsia="Times New Roman" w:hAnsi="Times New Roman" w:cs="Times New Roman"/>
                <w:sz w:val="24"/>
                <w:szCs w:val="24"/>
              </w:rPr>
              <w:t xml:space="preserve"> g.43</w:t>
            </w:r>
            <w:r w:rsidR="003117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Viļņa,</w:t>
            </w:r>
            <w:r w:rsidR="003117F0">
              <w:rPr>
                <w:rFonts w:ascii="Times New Roman" w:eastAsia="Times New Roman" w:hAnsi="Times New Roman" w:cs="Times New Roman"/>
                <w:sz w:val="24"/>
                <w:szCs w:val="24"/>
              </w:rPr>
              <w:t xml:space="preserve"> Lietuva</w:t>
            </w:r>
          </w:p>
          <w:p w14:paraId="483DBA96" w14:textId="77777777"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3117F0">
              <w:rPr>
                <w:rFonts w:ascii="Times New Roman" w:eastAsia="Times New Roman" w:hAnsi="Times New Roman" w:cs="Times New Roman"/>
                <w:bCs/>
                <w:sz w:val="24"/>
                <w:szCs w:val="24"/>
                <w:lang w:val="lt-LT"/>
              </w:rPr>
              <w:t>AB SEB bankas</w:t>
            </w:r>
          </w:p>
          <w:p w14:paraId="032BD853"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615CE9" w:rsidRPr="00D155DC">
              <w:rPr>
                <w:rFonts w:ascii="Times New Roman" w:eastAsia="Times New Roman" w:hAnsi="Times New Roman" w:cs="Times New Roman"/>
                <w:bCs/>
                <w:sz w:val="24"/>
                <w:szCs w:val="24"/>
                <w:lang w:val="lt-LT"/>
              </w:rPr>
              <w:t>70440</w:t>
            </w:r>
          </w:p>
          <w:p w14:paraId="441694BC" w14:textId="77777777"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LT</w:t>
            </w:r>
            <w:r w:rsidR="00615CE9">
              <w:rPr>
                <w:rFonts w:ascii="Times New Roman" w:eastAsia="Times New Roman" w:hAnsi="Times New Roman" w:cs="Times New Roman"/>
                <w:bCs/>
                <w:sz w:val="24"/>
                <w:szCs w:val="24"/>
                <w:lang w:val="lt-LT"/>
              </w:rPr>
              <w:t>377044060001670742</w:t>
            </w:r>
          </w:p>
          <w:p w14:paraId="3154CD10" w14:textId="77777777" w:rsidR="00A33F4E"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14:paraId="1D4BA459" w14:textId="77777777"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14:paraId="79ECB362" w14:textId="77777777"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14:paraId="08AABAA1" w14:textId="77777777"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18C66811" w14:textId="582E33CC" w:rsidR="00B92A84" w:rsidRPr="00345238" w:rsidRDefault="00D155DC"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 Pranulis</w:t>
            </w:r>
          </w:p>
        </w:tc>
      </w:tr>
    </w:tbl>
    <w:p w14:paraId="38DE8BBF"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4CA3F71A"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494B7CAF"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6FFB100D"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0DA3B1B2"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5BE4AD97"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6EE44EF9"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47B68D7C"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7971E388" w14:textId="77777777"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14:paraId="2132C2CE" w14:textId="77777777"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8F21B2">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A727" w14:textId="77777777" w:rsidR="007A19C1" w:rsidRDefault="007A19C1" w:rsidP="009F496F">
      <w:pPr>
        <w:spacing w:after="0" w:line="240" w:lineRule="auto"/>
      </w:pPr>
      <w:r>
        <w:separator/>
      </w:r>
    </w:p>
  </w:endnote>
  <w:endnote w:type="continuationSeparator" w:id="0">
    <w:p w14:paraId="0D865741" w14:textId="77777777" w:rsidR="007A19C1" w:rsidRDefault="007A19C1"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14:paraId="202B26B6" w14:textId="77777777" w:rsidR="00DA23F8" w:rsidRDefault="00DA23F8">
        <w:pPr>
          <w:pStyle w:val="Footer"/>
          <w:jc w:val="center"/>
        </w:pPr>
        <w:r>
          <w:fldChar w:fldCharType="begin"/>
        </w:r>
        <w:r>
          <w:instrText>PAGE   \* MERGEFORMAT</w:instrText>
        </w:r>
        <w:r>
          <w:fldChar w:fldCharType="separate"/>
        </w:r>
        <w:r>
          <w:t>2</w:t>
        </w:r>
        <w:r>
          <w:fldChar w:fldCharType="end"/>
        </w:r>
      </w:p>
    </w:sdtContent>
  </w:sdt>
  <w:p w14:paraId="3278D2FC" w14:textId="77777777"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14:paraId="7E3B5A98" w14:textId="77777777" w:rsidR="00DA23F8" w:rsidRDefault="00DA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F8064" w14:textId="77777777"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61E7" w14:textId="77777777" w:rsidR="007A19C1" w:rsidRDefault="007A19C1" w:rsidP="009F496F">
      <w:pPr>
        <w:spacing w:after="0" w:line="240" w:lineRule="auto"/>
      </w:pPr>
      <w:r>
        <w:separator/>
      </w:r>
    </w:p>
  </w:footnote>
  <w:footnote w:type="continuationSeparator" w:id="0">
    <w:p w14:paraId="26881142" w14:textId="77777777" w:rsidR="007A19C1" w:rsidRDefault="007A19C1"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5379A"/>
    <w:rsid w:val="001625EE"/>
    <w:rsid w:val="002D6CDE"/>
    <w:rsid w:val="002E4016"/>
    <w:rsid w:val="003117F0"/>
    <w:rsid w:val="00340B55"/>
    <w:rsid w:val="00455202"/>
    <w:rsid w:val="004733F7"/>
    <w:rsid w:val="00493E93"/>
    <w:rsid w:val="00567250"/>
    <w:rsid w:val="005C0888"/>
    <w:rsid w:val="00615CE9"/>
    <w:rsid w:val="00661658"/>
    <w:rsid w:val="007229C4"/>
    <w:rsid w:val="007A19C1"/>
    <w:rsid w:val="008A3EC9"/>
    <w:rsid w:val="008F21B2"/>
    <w:rsid w:val="00934D92"/>
    <w:rsid w:val="00955AEB"/>
    <w:rsid w:val="00981734"/>
    <w:rsid w:val="009F496F"/>
    <w:rsid w:val="00A17089"/>
    <w:rsid w:val="00A33F4E"/>
    <w:rsid w:val="00B061D4"/>
    <w:rsid w:val="00B92A84"/>
    <w:rsid w:val="00C6649C"/>
    <w:rsid w:val="00C74DCE"/>
    <w:rsid w:val="00CA4972"/>
    <w:rsid w:val="00D155DC"/>
    <w:rsid w:val="00D51FC9"/>
    <w:rsid w:val="00DA23F8"/>
    <w:rsid w:val="00E34D72"/>
    <w:rsid w:val="00EC27C2"/>
    <w:rsid w:val="00EE456A"/>
    <w:rsid w:val="00F31786"/>
    <w:rsid w:val="00F5711E"/>
    <w:rsid w:val="00F80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28FD"/>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8714</Words>
  <Characters>4967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2019-08-02T09:53:00Z</dcterms:created>
  <dcterms:modified xsi:type="dcterms:W3CDTF">2019-09-16T10:46:00Z</dcterms:modified>
</cp:coreProperties>
</file>