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DA4" w:rsidRPr="00CD78BC" w:rsidRDefault="008C6DA4" w:rsidP="00E8772B">
      <w:pPr>
        <w:spacing w:after="0" w:line="240" w:lineRule="auto"/>
        <w:ind w:left="720" w:right="-908"/>
        <w:jc w:val="right"/>
        <w:rPr>
          <w:rFonts w:ascii="Times New Roman" w:eastAsia="Calibri" w:hAnsi="Times New Roman" w:cs="Times New Roman"/>
          <w:bCs/>
          <w:sz w:val="20"/>
          <w:szCs w:val="20"/>
        </w:rPr>
      </w:pPr>
      <w:r w:rsidRPr="00CD78BC">
        <w:rPr>
          <w:rFonts w:ascii="Times New Roman" w:eastAsia="Calibri" w:hAnsi="Times New Roman" w:cs="Times New Roman"/>
          <w:bCs/>
          <w:sz w:val="20"/>
          <w:szCs w:val="20"/>
        </w:rPr>
        <w:t xml:space="preserve">Vienošanās Nr. </w:t>
      </w:r>
      <w:r w:rsidR="00E8772B">
        <w:rPr>
          <w:rFonts w:ascii="Times New Roman" w:eastAsia="Calibri" w:hAnsi="Times New Roman" w:cs="Times New Roman"/>
          <w:bCs/>
          <w:sz w:val="20"/>
          <w:szCs w:val="20"/>
        </w:rPr>
        <w:t xml:space="preserve">SKUS </w:t>
      </w:r>
      <w:r w:rsidR="00E97C66">
        <w:rPr>
          <w:rFonts w:ascii="Times New Roman" w:eastAsia="Calibri" w:hAnsi="Times New Roman" w:cs="Times New Roman"/>
          <w:bCs/>
          <w:sz w:val="20"/>
          <w:szCs w:val="20"/>
        </w:rPr>
        <w:t>253/18-VV</w:t>
      </w:r>
    </w:p>
    <w:p w:rsidR="008C6DA4" w:rsidRPr="00CD78BC" w:rsidRDefault="008C6DA4" w:rsidP="00E8772B">
      <w:pPr>
        <w:spacing w:after="0" w:line="240" w:lineRule="auto"/>
        <w:ind w:left="720" w:right="-908"/>
        <w:jc w:val="right"/>
        <w:rPr>
          <w:rFonts w:ascii="Times New Roman" w:eastAsia="Calibri" w:hAnsi="Times New Roman" w:cs="Times New Roman"/>
          <w:bCs/>
          <w:sz w:val="20"/>
          <w:szCs w:val="20"/>
        </w:rPr>
      </w:pPr>
      <w:r w:rsidRPr="00CD78BC">
        <w:rPr>
          <w:rFonts w:ascii="Times New Roman" w:eastAsia="Calibri" w:hAnsi="Times New Roman" w:cs="Times New Roman"/>
          <w:bCs/>
          <w:sz w:val="20"/>
          <w:szCs w:val="20"/>
        </w:rPr>
        <w:t xml:space="preserve">1.pielikums </w:t>
      </w:r>
    </w:p>
    <w:p w:rsidR="008C6DA4" w:rsidRPr="00CD78BC" w:rsidRDefault="008C6DA4" w:rsidP="00E8772B">
      <w:pPr>
        <w:spacing w:after="0" w:line="240" w:lineRule="auto"/>
        <w:ind w:right="-908"/>
        <w:jc w:val="both"/>
        <w:rPr>
          <w:rFonts w:ascii="Times New Roman" w:eastAsia="Times New Roman" w:hAnsi="Times New Roman" w:cs="Times New Roman"/>
          <w:b/>
          <w:bCs/>
          <w:sz w:val="24"/>
          <w:szCs w:val="24"/>
        </w:rPr>
      </w:pPr>
    </w:p>
    <w:p w:rsidR="008C6DA4" w:rsidRPr="00CD78BC" w:rsidRDefault="008C6DA4" w:rsidP="00E8772B">
      <w:pPr>
        <w:spacing w:after="0" w:line="240" w:lineRule="auto"/>
        <w:ind w:left="720" w:right="-908"/>
        <w:jc w:val="center"/>
        <w:rPr>
          <w:rFonts w:ascii="Times New Roman" w:eastAsia="Times New Roman" w:hAnsi="Times New Roman" w:cs="Times New Roman"/>
          <w:b/>
          <w:bCs/>
          <w:sz w:val="24"/>
          <w:szCs w:val="24"/>
        </w:rPr>
      </w:pPr>
      <w:r w:rsidRPr="00CD78BC">
        <w:rPr>
          <w:rFonts w:ascii="Times New Roman" w:eastAsia="Times New Roman" w:hAnsi="Times New Roman" w:cs="Times New Roman"/>
          <w:b/>
          <w:bCs/>
          <w:sz w:val="24"/>
          <w:szCs w:val="24"/>
        </w:rPr>
        <w:t>Piegādes līgums Nr.</w:t>
      </w:r>
      <w:r w:rsidR="00E97C66">
        <w:rPr>
          <w:rFonts w:ascii="Times New Roman" w:eastAsia="Times New Roman" w:hAnsi="Times New Roman" w:cs="Times New Roman"/>
          <w:b/>
          <w:bCs/>
          <w:sz w:val="24"/>
          <w:szCs w:val="24"/>
        </w:rPr>
        <w:t xml:space="preserve"> SKUS 253/18-A</w:t>
      </w:r>
    </w:p>
    <w:p w:rsidR="008C6DA4" w:rsidRPr="00CD78BC" w:rsidRDefault="008C6DA4" w:rsidP="00E8772B">
      <w:pPr>
        <w:spacing w:after="0" w:line="240" w:lineRule="auto"/>
        <w:ind w:right="-908"/>
        <w:jc w:val="center"/>
        <w:outlineLvl w:val="0"/>
        <w:rPr>
          <w:rFonts w:ascii="Times New Roman" w:eastAsia="Times New Roman" w:hAnsi="Times New Roman" w:cs="Times New Roman"/>
          <w:sz w:val="24"/>
          <w:szCs w:val="24"/>
        </w:rPr>
      </w:pPr>
      <w:r w:rsidRPr="00CD78BC">
        <w:rPr>
          <w:rFonts w:ascii="Times New Roman" w:eastAsia="Times New Roman" w:hAnsi="Times New Roman" w:cs="Times New Roman"/>
          <w:i/>
          <w:sz w:val="24"/>
          <w:szCs w:val="24"/>
          <w:lang w:eastAsia="lv-LV"/>
        </w:rPr>
        <w:t>par</w:t>
      </w:r>
      <w:r w:rsidRPr="00CD78BC">
        <w:rPr>
          <w:rFonts w:ascii="Times New Roman" w:eastAsia="Times New Roman" w:hAnsi="Times New Roman" w:cs="Times New Roman"/>
          <w:b/>
          <w:i/>
          <w:sz w:val="24"/>
          <w:szCs w:val="24"/>
          <w:lang w:eastAsia="lv-LV"/>
        </w:rPr>
        <w:t xml:space="preserve"> </w:t>
      </w:r>
      <w:r w:rsidRPr="00CD78BC">
        <w:rPr>
          <w:rFonts w:ascii="Times New Roman" w:eastAsia="Times New Roman" w:hAnsi="Times New Roman" w:cs="Times New Roman"/>
          <w:i/>
          <w:sz w:val="24"/>
          <w:szCs w:val="24"/>
          <w:lang w:eastAsia="lv-LV"/>
        </w:rPr>
        <w:t>vitālo funkciju mērāmo iekārtu piederumu piegādi</w:t>
      </w:r>
    </w:p>
    <w:p w:rsidR="008C6DA4" w:rsidRPr="00CD78BC" w:rsidRDefault="008C6DA4" w:rsidP="00E8772B">
      <w:pPr>
        <w:spacing w:after="0" w:line="240" w:lineRule="auto"/>
        <w:ind w:left="720" w:right="-908"/>
        <w:jc w:val="both"/>
        <w:rPr>
          <w:rFonts w:ascii="Times New Roman" w:eastAsia="Times New Roman" w:hAnsi="Times New Roman" w:cs="Times New Roman"/>
          <w:b/>
          <w:bCs/>
          <w:sz w:val="24"/>
          <w:szCs w:val="24"/>
        </w:rPr>
      </w:pPr>
    </w:p>
    <w:p w:rsidR="008C6DA4" w:rsidRPr="00CD78BC" w:rsidRDefault="008C6DA4" w:rsidP="00E8772B">
      <w:pPr>
        <w:spacing w:after="0" w:line="240" w:lineRule="auto"/>
        <w:ind w:right="-908"/>
        <w:jc w:val="both"/>
        <w:rPr>
          <w:rFonts w:ascii="Times New Roman" w:eastAsia="Calibri" w:hAnsi="Times New Roman" w:cs="Times New Roman"/>
          <w:sz w:val="24"/>
          <w:szCs w:val="24"/>
        </w:rPr>
      </w:pPr>
      <w:r w:rsidRPr="00CD78BC">
        <w:rPr>
          <w:rFonts w:ascii="Times New Roman" w:eastAsia="Calibri" w:hAnsi="Times New Roman" w:cs="Times New Roman"/>
          <w:sz w:val="24"/>
          <w:szCs w:val="24"/>
        </w:rPr>
        <w:t xml:space="preserve">Rīgā,                                                                                                             2018.gada </w:t>
      </w:r>
      <w:r w:rsidR="00E97C66">
        <w:rPr>
          <w:rFonts w:ascii="Times New Roman" w:eastAsia="Calibri" w:hAnsi="Times New Roman" w:cs="Times New Roman"/>
          <w:sz w:val="24"/>
          <w:szCs w:val="24"/>
        </w:rPr>
        <w:t>17.maijs</w:t>
      </w:r>
    </w:p>
    <w:p w:rsidR="008C6DA4" w:rsidRPr="00CD78BC" w:rsidRDefault="008C6DA4" w:rsidP="00E8772B">
      <w:pPr>
        <w:spacing w:after="0" w:line="240" w:lineRule="auto"/>
        <w:ind w:right="-908"/>
        <w:jc w:val="both"/>
        <w:rPr>
          <w:rFonts w:ascii="Times New Roman" w:eastAsia="Calibri" w:hAnsi="Times New Roman" w:cs="Times New Roman"/>
          <w:sz w:val="24"/>
          <w:szCs w:val="24"/>
        </w:rPr>
      </w:pPr>
      <w:r w:rsidRPr="00CD78BC">
        <w:rPr>
          <w:rFonts w:ascii="Times New Roman" w:eastAsia="Calibri" w:hAnsi="Times New Roman" w:cs="Times New Roman"/>
          <w:sz w:val="24"/>
          <w:szCs w:val="24"/>
        </w:rPr>
        <w:t xml:space="preserve"> </w:t>
      </w:r>
    </w:p>
    <w:p w:rsidR="008C6DA4" w:rsidRPr="00CD78BC" w:rsidRDefault="00E8772B" w:rsidP="00E8772B">
      <w:pPr>
        <w:spacing w:after="0" w:line="240" w:lineRule="auto"/>
        <w:ind w:right="-908"/>
        <w:jc w:val="both"/>
        <w:rPr>
          <w:rFonts w:ascii="Times New Roman" w:eastAsia="Times New Roman" w:hAnsi="Times New Roman" w:cs="Times New Roman"/>
          <w:sz w:val="24"/>
          <w:szCs w:val="24"/>
        </w:rPr>
      </w:pPr>
      <w:r w:rsidRPr="005905EE">
        <w:rPr>
          <w:rFonts w:ascii="Times New Roman" w:eastAsia="Times New Roman" w:hAnsi="Times New Roman" w:cs="Times New Roman"/>
          <w:b/>
          <w:bCs/>
          <w:sz w:val="24"/>
          <w:szCs w:val="24"/>
        </w:rPr>
        <w:t>VSIA „Paula Stradiņa klīniskā universitātes slimnīca”</w:t>
      </w:r>
      <w:r w:rsidRPr="005905EE">
        <w:rPr>
          <w:rFonts w:ascii="Times New Roman" w:eastAsia="Times New Roman" w:hAnsi="Times New Roman" w:cs="Times New Roman"/>
          <w:sz w:val="24"/>
          <w:szCs w:val="24"/>
        </w:rPr>
        <w:t xml:space="preserve">, reģ.Nr.40003457109, kuru, </w:t>
      </w:r>
      <w:r>
        <w:rPr>
          <w:rFonts w:ascii="Times New Roman" w:hAnsi="Times New Roman"/>
          <w:sz w:val="24"/>
          <w:szCs w:val="24"/>
        </w:rPr>
        <w:t>saskaņā ar statūtiem un 01.03.2018. valdes lēmumu Nr.22 (protokols Nr.9 p.3)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sz w:val="24"/>
          <w:szCs w:val="24"/>
        </w:rPr>
        <w:t>Ilze Kreicberga</w:t>
      </w:r>
      <w:r>
        <w:rPr>
          <w:rFonts w:ascii="Times New Roman" w:eastAsia="Calibri" w:hAnsi="Times New Roman" w:cs="Calibri"/>
          <w:sz w:val="24"/>
          <w:szCs w:val="24"/>
        </w:rPr>
        <w:t xml:space="preserve">, </w:t>
      </w:r>
      <w:r w:rsidRPr="005905EE">
        <w:rPr>
          <w:rFonts w:ascii="Times New Roman" w:eastAsia="Calibri" w:hAnsi="Times New Roman" w:cs="Calibri"/>
          <w:sz w:val="24"/>
          <w:szCs w:val="24"/>
        </w:rPr>
        <w:t>(turpmāk - Pasūtītājs) no vienas puses</w:t>
      </w:r>
      <w:r w:rsidRPr="00CD78BC">
        <w:rPr>
          <w:rFonts w:ascii="Times New Roman" w:eastAsia="Times New Roman" w:hAnsi="Times New Roman" w:cs="Times New Roman"/>
          <w:sz w:val="24"/>
          <w:szCs w:val="24"/>
        </w:rPr>
        <w:t xml:space="preserve">, </w:t>
      </w:r>
      <w:r w:rsidR="008C6DA4" w:rsidRPr="00CD78BC">
        <w:rPr>
          <w:rFonts w:ascii="Times New Roman" w:eastAsia="Times New Roman" w:hAnsi="Times New Roman" w:cs="Times New Roman"/>
          <w:sz w:val="24"/>
          <w:szCs w:val="24"/>
        </w:rPr>
        <w:t>un</w:t>
      </w:r>
    </w:p>
    <w:p w:rsidR="008C6DA4" w:rsidRPr="00CD78BC" w:rsidRDefault="0081475D" w:rsidP="00E8772B">
      <w:pPr>
        <w:spacing w:after="0" w:line="240" w:lineRule="auto"/>
        <w:ind w:right="-908"/>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proofErr w:type="spellStart"/>
      <w:r>
        <w:rPr>
          <w:rFonts w:ascii="Times New Roman" w:eastAsia="Times New Roman" w:hAnsi="Times New Roman" w:cs="Times New Roman"/>
          <w:b/>
          <w:sz w:val="24"/>
          <w:szCs w:val="24"/>
          <w:lang w:eastAsia="lv-LV"/>
        </w:rPr>
        <w:t>Accumed</w:t>
      </w:r>
      <w:proofErr w:type="spellEnd"/>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reģistrācijas Nr.40103958923, </w:t>
      </w:r>
      <w:r w:rsidRPr="00E97C66">
        <w:rPr>
          <w:rFonts w:ascii="Times New Roman" w:eastAsia="Times New Roman" w:hAnsi="Times New Roman" w:cs="Times New Roman"/>
          <w:sz w:val="24"/>
          <w:szCs w:val="24"/>
          <w:lang w:eastAsia="lv-LV"/>
        </w:rPr>
        <w:t xml:space="preserve">tās valdes locekļa Andra </w:t>
      </w:r>
      <w:proofErr w:type="spellStart"/>
      <w:r w:rsidRPr="00E97C66">
        <w:rPr>
          <w:rFonts w:ascii="Times New Roman" w:eastAsia="Times New Roman" w:hAnsi="Times New Roman" w:cs="Times New Roman"/>
          <w:sz w:val="24"/>
          <w:szCs w:val="24"/>
          <w:lang w:eastAsia="lv-LV"/>
        </w:rPr>
        <w:t>Voroņina</w:t>
      </w:r>
      <w:proofErr w:type="spellEnd"/>
      <w:r w:rsidRPr="00E97C66">
        <w:rPr>
          <w:rFonts w:ascii="Times New Roman" w:eastAsia="Times New Roman" w:hAnsi="Times New Roman" w:cs="Times New Roman"/>
          <w:sz w:val="24"/>
          <w:szCs w:val="24"/>
          <w:lang w:eastAsia="lv-LV"/>
        </w:rPr>
        <w:t xml:space="preserve"> personā</w:t>
      </w:r>
      <w:r>
        <w:rPr>
          <w:rFonts w:ascii="Times New Roman" w:eastAsia="Times New Roman" w:hAnsi="Times New Roman" w:cs="Times New Roman"/>
          <w:sz w:val="24"/>
          <w:szCs w:val="24"/>
          <w:lang w:eastAsia="lv-LV"/>
        </w:rPr>
        <w:t xml:space="preserve">, kurš rīkojas uz statūtu </w:t>
      </w:r>
      <w:r w:rsidRPr="00315A0E">
        <w:rPr>
          <w:rFonts w:ascii="Times New Roman" w:eastAsia="Times New Roman" w:hAnsi="Times New Roman" w:cs="Times New Roman"/>
          <w:sz w:val="24"/>
          <w:szCs w:val="24"/>
        </w:rPr>
        <w:t>pamata</w:t>
      </w:r>
      <w:r w:rsidR="008C6DA4" w:rsidRPr="00CD78BC">
        <w:rPr>
          <w:rFonts w:ascii="Times New Roman" w:eastAsia="Times New Roman" w:hAnsi="Times New Roman" w:cs="Times New Roman"/>
          <w:sz w:val="24"/>
          <w:szCs w:val="24"/>
        </w:rPr>
        <w:t xml:space="preserve"> (turpmāk - Piegādātājs) no otras puses (abi kopā – Puses), pamatojoties uz atklāta konkursa „Vitālo funkciju mērāmo iekārtu piederumi”, ID Nr. PSKUS 2018/55, rezultātiem un, saskaņā ar Piegādātāja iesniegto piedāvājumu, noslēdz šādu līgumu (turpmāk – Līgums):</w:t>
      </w:r>
    </w:p>
    <w:p w:rsidR="008C6DA4" w:rsidRPr="00CD78BC" w:rsidRDefault="008C6DA4" w:rsidP="00E8772B">
      <w:pPr>
        <w:spacing w:after="0" w:line="240" w:lineRule="auto"/>
        <w:ind w:right="-908"/>
        <w:jc w:val="both"/>
        <w:rPr>
          <w:rFonts w:ascii="Times New Roman" w:eastAsia="Times New Roman" w:hAnsi="Times New Roman" w:cs="Times New Roman"/>
          <w:sz w:val="24"/>
          <w:szCs w:val="24"/>
        </w:rPr>
      </w:pPr>
    </w:p>
    <w:p w:rsidR="008C6DA4" w:rsidRPr="00CD78BC" w:rsidRDefault="008C6DA4" w:rsidP="00E8772B">
      <w:pPr>
        <w:numPr>
          <w:ilvl w:val="0"/>
          <w:numId w:val="1"/>
        </w:numPr>
        <w:spacing w:after="0" w:line="240" w:lineRule="auto"/>
        <w:ind w:right="-908"/>
        <w:jc w:val="center"/>
        <w:rPr>
          <w:rFonts w:ascii="Times New Roman" w:eastAsia="Times New Roman" w:hAnsi="Times New Roman" w:cs="Times New Roman"/>
          <w:b/>
          <w:bCs/>
          <w:sz w:val="24"/>
          <w:szCs w:val="24"/>
        </w:rPr>
      </w:pPr>
      <w:r w:rsidRPr="00CD78BC">
        <w:rPr>
          <w:rFonts w:ascii="Times New Roman" w:eastAsia="Times New Roman" w:hAnsi="Times New Roman" w:cs="Times New Roman"/>
          <w:b/>
          <w:bCs/>
          <w:sz w:val="24"/>
          <w:szCs w:val="24"/>
        </w:rPr>
        <w:t>Līguma priekšmets un piegāde</w:t>
      </w:r>
    </w:p>
    <w:p w:rsidR="008C6DA4" w:rsidRPr="00CD78BC" w:rsidRDefault="008C6DA4" w:rsidP="00E8772B">
      <w:pPr>
        <w:numPr>
          <w:ilvl w:val="1"/>
          <w:numId w:val="1"/>
        </w:numPr>
        <w:spacing w:after="0" w:line="240" w:lineRule="auto"/>
        <w:ind w:right="-908" w:hanging="562"/>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 xml:space="preserve">Pasūtītājs </w:t>
      </w:r>
      <w:proofErr w:type="spellStart"/>
      <w:r w:rsidRPr="00CD78BC">
        <w:rPr>
          <w:rFonts w:ascii="Times New Roman" w:eastAsia="Times New Roman" w:hAnsi="Times New Roman" w:cs="Times New Roman"/>
          <w:sz w:val="24"/>
          <w:szCs w:val="24"/>
        </w:rPr>
        <w:t>pasūta</w:t>
      </w:r>
      <w:proofErr w:type="spellEnd"/>
      <w:r w:rsidRPr="00CD78BC">
        <w:rPr>
          <w:rFonts w:ascii="Times New Roman" w:eastAsia="Times New Roman" w:hAnsi="Times New Roman" w:cs="Times New Roman"/>
          <w:sz w:val="24"/>
          <w:szCs w:val="24"/>
        </w:rPr>
        <w:t xml:space="preserve"> un Piegādātājs piegādā </w:t>
      </w:r>
      <w:r w:rsidR="00E8772B">
        <w:rPr>
          <w:rFonts w:ascii="Times New Roman" w:eastAsia="Times New Roman" w:hAnsi="Times New Roman" w:cs="Times New Roman"/>
          <w:sz w:val="24"/>
          <w:szCs w:val="24"/>
        </w:rPr>
        <w:t xml:space="preserve">piederumus </w:t>
      </w:r>
      <w:proofErr w:type="spellStart"/>
      <w:r w:rsidR="0081475D">
        <w:rPr>
          <w:rFonts w:ascii="Times New Roman" w:eastAsia="Times New Roman" w:hAnsi="Times New Roman" w:cs="Times New Roman"/>
          <w:sz w:val="24"/>
          <w:szCs w:val="24"/>
        </w:rPr>
        <w:t>Langer</w:t>
      </w:r>
      <w:proofErr w:type="spellEnd"/>
      <w:r w:rsidR="00E8772B">
        <w:rPr>
          <w:rFonts w:ascii="Times New Roman" w:eastAsia="Times New Roman" w:hAnsi="Times New Roman" w:cs="Times New Roman"/>
          <w:sz w:val="24"/>
          <w:szCs w:val="24"/>
        </w:rPr>
        <w:t xml:space="preserve"> pacientu monitoriem </w:t>
      </w:r>
      <w:r w:rsidRPr="00CD78BC">
        <w:rPr>
          <w:rFonts w:ascii="Times New Roman" w:eastAsia="Times New Roman" w:hAnsi="Times New Roman" w:cs="Times New Roman"/>
          <w:sz w:val="24"/>
          <w:szCs w:val="24"/>
        </w:rPr>
        <w:t xml:space="preserve">(turpmāk – Prece) atbilstoši Līguma un tā pielikumu noteikumiem, </w:t>
      </w:r>
    </w:p>
    <w:p w:rsidR="008C6DA4" w:rsidRPr="00CD78BC" w:rsidRDefault="008C6DA4" w:rsidP="00E8772B">
      <w:pPr>
        <w:numPr>
          <w:ilvl w:val="1"/>
          <w:numId w:val="1"/>
        </w:numPr>
        <w:tabs>
          <w:tab w:val="num" w:pos="993"/>
        </w:tabs>
        <w:spacing w:after="0" w:line="240" w:lineRule="auto"/>
        <w:ind w:right="-908" w:hanging="562"/>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8C6DA4" w:rsidRPr="00DD3BBA" w:rsidRDefault="008C6DA4" w:rsidP="00DD3BBA">
      <w:pPr>
        <w:numPr>
          <w:ilvl w:val="1"/>
          <w:numId w:val="1"/>
        </w:numPr>
        <w:tabs>
          <w:tab w:val="num" w:pos="993"/>
        </w:tabs>
        <w:spacing w:after="0" w:line="240" w:lineRule="auto"/>
        <w:ind w:right="-908" w:hanging="562"/>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 xml:space="preserve">Pasūtītājs Preces pasūtīšanu veic elektroniski, pieprasījumu nosūtot uz Līguma </w:t>
      </w:r>
      <w:r w:rsidR="00DD3BBA">
        <w:rPr>
          <w:rFonts w:ascii="Times New Roman" w:eastAsia="Times New Roman" w:hAnsi="Times New Roman" w:cs="Times New Roman"/>
          <w:sz w:val="24"/>
          <w:szCs w:val="24"/>
        </w:rPr>
        <w:t>8.7.2</w:t>
      </w:r>
      <w:r w:rsidRPr="00DD3BBA">
        <w:rPr>
          <w:rFonts w:ascii="Times New Roman" w:eastAsia="Times New Roman" w:hAnsi="Times New Roman" w:cs="Times New Roman"/>
          <w:sz w:val="24"/>
          <w:szCs w:val="24"/>
        </w:rPr>
        <w:t>.punktā norādītās kontaktpersonas e-pastu.</w:t>
      </w:r>
    </w:p>
    <w:p w:rsidR="008C6DA4" w:rsidRPr="00CD78BC" w:rsidRDefault="008C6DA4" w:rsidP="00E8772B">
      <w:pPr>
        <w:numPr>
          <w:ilvl w:val="1"/>
          <w:numId w:val="1"/>
        </w:numPr>
        <w:tabs>
          <w:tab w:val="num" w:pos="851"/>
        </w:tabs>
        <w:spacing w:after="0" w:line="240" w:lineRule="auto"/>
        <w:ind w:right="-908" w:hanging="562"/>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2002F1">
        <w:rPr>
          <w:rFonts w:ascii="Times New Roman" w:eastAsia="Times New Roman" w:hAnsi="Times New Roman" w:cs="Times New Roman"/>
          <w:sz w:val="24"/>
          <w:szCs w:val="24"/>
        </w:rPr>
        <w:t>8.7.1</w:t>
      </w:r>
      <w:r w:rsidRPr="00CD78BC">
        <w:rPr>
          <w:rFonts w:ascii="Times New Roman" w:eastAsia="Times New Roman" w:hAnsi="Times New Roman" w:cs="Times New Roman"/>
          <w:sz w:val="24"/>
          <w:szCs w:val="24"/>
        </w:rPr>
        <w:t>.punktā norādīto kontaktpersonu.</w:t>
      </w:r>
      <w:r w:rsidRPr="00CD78BC">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CD78BC">
        <w:rPr>
          <w:rFonts w:ascii="Times New Roman" w:eastAsia="Times New Roman" w:hAnsi="Times New Roman" w:cs="Times New Roman"/>
          <w:bCs/>
          <w:sz w:val="24"/>
          <w:szCs w:val="24"/>
        </w:rPr>
        <w:t>bet  tas nedrīkst pārsniegt šajā punktā noteiktos termiņus vairāk kā 5 (piecas) darba dienas.</w:t>
      </w:r>
    </w:p>
    <w:p w:rsidR="008C6DA4" w:rsidRPr="00CD78BC" w:rsidRDefault="008C6DA4" w:rsidP="00E8772B">
      <w:pPr>
        <w:tabs>
          <w:tab w:val="num" w:pos="851"/>
        </w:tabs>
        <w:spacing w:after="0" w:line="240" w:lineRule="auto"/>
        <w:ind w:right="-908"/>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 xml:space="preserve">   </w:t>
      </w:r>
    </w:p>
    <w:p w:rsidR="008C6DA4" w:rsidRPr="00CD78BC" w:rsidRDefault="008C6DA4" w:rsidP="00E8772B">
      <w:pPr>
        <w:numPr>
          <w:ilvl w:val="0"/>
          <w:numId w:val="1"/>
        </w:numPr>
        <w:spacing w:after="0" w:line="240" w:lineRule="auto"/>
        <w:ind w:right="-908"/>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Līguma summa, norēķinu kārtība</w:t>
      </w:r>
    </w:p>
    <w:p w:rsidR="008C6DA4" w:rsidRPr="00CD78BC" w:rsidRDefault="008C6DA4" w:rsidP="00E8772B">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Līguma summu veido visu Līguma ietvaros pasūtīto Preču kopējā summa, ņemot vērā Vienošanās kopējo summu.</w:t>
      </w:r>
    </w:p>
    <w:p w:rsidR="008C6DA4" w:rsidRPr="00CD78BC" w:rsidRDefault="008C6DA4" w:rsidP="00E8772B">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Preču vienas vienības cenas EUR bez pievienotās vērtības nodokļa (turpmāk – PVN) norādītas tehniskajā un finanšu piedāvājumā (turpmāk - Līguma 1.</w:t>
      </w:r>
      <w:r w:rsidR="00E8772B">
        <w:rPr>
          <w:rFonts w:ascii="Times New Roman" w:eastAsia="Times New Roman" w:hAnsi="Times New Roman" w:cs="Times New Roman"/>
          <w:sz w:val="24"/>
          <w:szCs w:val="24"/>
        </w:rPr>
        <w:t xml:space="preserve"> un 2.</w:t>
      </w:r>
      <w:r w:rsidRPr="00CD78BC">
        <w:rPr>
          <w:rFonts w:ascii="Times New Roman" w:eastAsia="Times New Roman" w:hAnsi="Times New Roman" w:cs="Times New Roman"/>
          <w:sz w:val="24"/>
          <w:szCs w:val="24"/>
        </w:rPr>
        <w:t xml:space="preserve">pielikums). PVN tiek aprēķināts un maksāts papildus saskaņā ar spēkā esošo nodokļu likmi.  </w:t>
      </w:r>
    </w:p>
    <w:p w:rsidR="008C6DA4" w:rsidRPr="00CD78BC" w:rsidRDefault="008C6DA4" w:rsidP="00E8772B">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Līguma 1.</w:t>
      </w:r>
      <w:r w:rsidR="00E8772B">
        <w:rPr>
          <w:rFonts w:ascii="Times New Roman" w:eastAsia="Times New Roman" w:hAnsi="Times New Roman" w:cs="Times New Roman"/>
          <w:sz w:val="24"/>
          <w:szCs w:val="24"/>
        </w:rPr>
        <w:t xml:space="preserve"> un 2.</w:t>
      </w:r>
      <w:r w:rsidRPr="00CD78BC">
        <w:rPr>
          <w:rFonts w:ascii="Times New Roman" w:eastAsia="Times New Roman" w:hAnsi="Times New Roman" w:cs="Times New Roman"/>
          <w:sz w:val="24"/>
          <w:szCs w:val="24"/>
        </w:rPr>
        <w:t>pielikumā norādītajā</w:t>
      </w:r>
      <w:r w:rsidR="00E8772B">
        <w:rPr>
          <w:rFonts w:ascii="Times New Roman" w:eastAsia="Times New Roman" w:hAnsi="Times New Roman" w:cs="Times New Roman"/>
          <w:sz w:val="24"/>
          <w:szCs w:val="24"/>
        </w:rPr>
        <w:t>s</w:t>
      </w:r>
      <w:r w:rsidRPr="00CD78BC">
        <w:rPr>
          <w:rFonts w:ascii="Times New Roman" w:eastAsia="Times New Roman" w:hAnsi="Times New Roman" w:cs="Times New Roman"/>
          <w:sz w:val="24"/>
          <w:szCs w:val="24"/>
        </w:rPr>
        <w:t xml:space="preserve"> cenā</w:t>
      </w:r>
      <w:r w:rsidR="00E8772B">
        <w:rPr>
          <w:rFonts w:ascii="Times New Roman" w:eastAsia="Times New Roman" w:hAnsi="Times New Roman" w:cs="Times New Roman"/>
          <w:sz w:val="24"/>
          <w:szCs w:val="24"/>
        </w:rPr>
        <w:t>s</w:t>
      </w:r>
      <w:r w:rsidRPr="00CD78BC">
        <w:rPr>
          <w:rFonts w:ascii="Times New Roman" w:eastAsia="Times New Roman" w:hAnsi="Times New Roman" w:cs="Times New Roman"/>
          <w:sz w:val="24"/>
          <w:szCs w:val="24"/>
        </w:rPr>
        <w:t xml:space="preserve">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8C6DA4" w:rsidRPr="00CD78BC" w:rsidRDefault="008C6DA4" w:rsidP="00E8772B">
      <w:pPr>
        <w:numPr>
          <w:ilvl w:val="1"/>
          <w:numId w:val="1"/>
        </w:numPr>
        <w:spacing w:after="0" w:line="240" w:lineRule="auto"/>
        <w:ind w:left="561" w:right="-908" w:hanging="561"/>
        <w:jc w:val="both"/>
        <w:rPr>
          <w:rFonts w:ascii="Times New Roman" w:eastAsia="Times New Roman" w:hAnsi="Times New Roman" w:cs="Times New Roman"/>
          <w:sz w:val="24"/>
          <w:szCs w:val="24"/>
        </w:rPr>
      </w:pPr>
      <w:bookmarkStart w:id="0" w:name="_Hlk507576554"/>
      <w:r w:rsidRPr="00CD78BC">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CD78BC">
        <w:rPr>
          <w:rFonts w:ascii="Times New Roman" w:eastAsia="Times New Roman" w:hAnsi="Times New Roman" w:cs="Times New Roman"/>
          <w:sz w:val="24"/>
          <w:szCs w:val="24"/>
        </w:rPr>
        <w:t>.</w:t>
      </w:r>
    </w:p>
    <w:p w:rsidR="008C6DA4" w:rsidRPr="00CD78BC" w:rsidRDefault="008C6DA4" w:rsidP="00E8772B">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C6DA4" w:rsidRPr="00CD78BC" w:rsidRDefault="008C6DA4" w:rsidP="00E8772B">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rsidR="008C6DA4" w:rsidRPr="00CD78BC" w:rsidRDefault="008C6DA4" w:rsidP="00E8772B">
      <w:pPr>
        <w:spacing w:after="0" w:line="240" w:lineRule="auto"/>
        <w:ind w:right="-908"/>
        <w:jc w:val="both"/>
        <w:rPr>
          <w:rFonts w:ascii="Times New Roman" w:eastAsia="Times New Roman" w:hAnsi="Times New Roman" w:cs="Times New Roman"/>
          <w:b/>
          <w:bCs/>
          <w:sz w:val="24"/>
          <w:szCs w:val="24"/>
        </w:rPr>
      </w:pPr>
    </w:p>
    <w:p w:rsidR="008C6DA4" w:rsidRPr="00CD78BC" w:rsidRDefault="008C6DA4" w:rsidP="00E8772B">
      <w:pPr>
        <w:numPr>
          <w:ilvl w:val="0"/>
          <w:numId w:val="1"/>
        </w:numPr>
        <w:spacing w:after="0" w:line="240" w:lineRule="auto"/>
        <w:ind w:right="-908"/>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Līguma darbības termiņš un spēkā esamība</w:t>
      </w:r>
    </w:p>
    <w:p w:rsidR="008C6DA4" w:rsidRPr="00CD78BC" w:rsidRDefault="008C6DA4" w:rsidP="00E8772B">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lang w:eastAsia="lv-LV"/>
        </w:rPr>
        <w:t>Līgums stājas spēkā tā abpusējas parakstīšanas</w:t>
      </w:r>
      <w:r w:rsidRPr="00CD78BC">
        <w:rPr>
          <w:rFonts w:ascii="Times New Roman" w:eastAsia="Times New Roman" w:hAnsi="Times New Roman" w:cs="Times New Roman"/>
          <w:sz w:val="24"/>
          <w:szCs w:val="24"/>
        </w:rPr>
        <w:t xml:space="preserve"> brīdī un ir spēkā 36 (trīsdesmit sešus) mēnešus no Līguma spēkā stāšanās dienas.</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3.2.</w:t>
      </w:r>
      <w:r w:rsidRPr="00CD78BC">
        <w:rPr>
          <w:rFonts w:ascii="Times New Roman" w:eastAsia="Times New Roman" w:hAnsi="Times New Roman" w:cs="Times New Roman"/>
          <w:sz w:val="24"/>
          <w:szCs w:val="24"/>
        </w:rPr>
        <w:tab/>
        <w:t>Pusēm vienojoties Līguma darbības termiņš var tikt pagarināts saskaņā ar Publisko iepirkumu likumā noteikto.</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3.3.</w:t>
      </w:r>
      <w:r w:rsidRPr="00CD78BC">
        <w:rPr>
          <w:rFonts w:ascii="Times New Roman" w:eastAsia="Times New Roman" w:hAnsi="Times New Roman" w:cs="Times New Roman"/>
          <w:sz w:val="24"/>
          <w:szCs w:val="24"/>
        </w:rPr>
        <w:tab/>
        <w:t>Pusēm ir tiesības jebkurā brīdī izbeigt Līgumu, par to rakstiski vienojoties.</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3.4.</w:t>
      </w:r>
      <w:r w:rsidRPr="00CD78BC">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8C6DA4" w:rsidRPr="00CD78BC" w:rsidRDefault="008C6DA4" w:rsidP="00E8772B">
      <w:pPr>
        <w:spacing w:after="0" w:line="240" w:lineRule="auto"/>
        <w:ind w:left="1276" w:right="-908" w:hanging="1276"/>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 xml:space="preserve">         3.4.1.</w:t>
      </w:r>
      <w:r w:rsidRPr="00CD78BC">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3.4.2.</w:t>
      </w:r>
      <w:r w:rsidRPr="00CD78BC">
        <w:rPr>
          <w:rFonts w:ascii="Times New Roman" w:eastAsia="Times New Roman" w:hAnsi="Times New Roman" w:cs="Times New Roman"/>
          <w:sz w:val="24"/>
          <w:szCs w:val="24"/>
        </w:rPr>
        <w:tab/>
      </w:r>
      <w:r w:rsidRPr="00CD78BC">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CD78BC">
        <w:rPr>
          <w:rFonts w:ascii="Times New Roman" w:eastAsia="Times New Roman" w:hAnsi="Times New Roman" w:cs="Times New Roman"/>
          <w:sz w:val="24"/>
          <w:szCs w:val="24"/>
        </w:rPr>
        <w:t>;</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3.4.3.</w:t>
      </w:r>
      <w:r w:rsidRPr="00CD78BC">
        <w:rPr>
          <w:rFonts w:ascii="Times New Roman" w:eastAsia="Times New Roman" w:hAnsi="Times New Roman" w:cs="Times New Roman"/>
          <w:sz w:val="24"/>
          <w:szCs w:val="24"/>
        </w:rPr>
        <w:tab/>
        <w:t>ja Piegādātājs atkārtoti (veiktas vismaz 2 Līgumam neatbilstošas piegādes) piegādājis Līgumam neatbilstošu Preci.</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3.5.</w:t>
      </w:r>
      <w:r w:rsidRPr="00CD78BC">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3.6.</w:t>
      </w:r>
      <w:r w:rsidRPr="00CD78BC">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3.6.1.</w:t>
      </w:r>
      <w:r w:rsidRPr="00CD78BC">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3.6.2.</w:t>
      </w:r>
      <w:r w:rsidRPr="00CD78BC">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 xml:space="preserve">3.7. </w:t>
      </w:r>
      <w:r w:rsidRPr="00CD78BC">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8C6DA4" w:rsidRPr="00CD78BC" w:rsidRDefault="008C6DA4" w:rsidP="00E8772B">
      <w:pPr>
        <w:spacing w:after="0" w:line="240" w:lineRule="auto"/>
        <w:ind w:right="-908"/>
        <w:jc w:val="both"/>
        <w:rPr>
          <w:rFonts w:ascii="Times New Roman" w:eastAsia="Times New Roman" w:hAnsi="Times New Roman" w:cs="Times New Roman"/>
          <w:sz w:val="24"/>
          <w:szCs w:val="24"/>
        </w:rPr>
      </w:pPr>
    </w:p>
    <w:p w:rsidR="008C6DA4" w:rsidRPr="00CD78BC" w:rsidRDefault="008C6DA4" w:rsidP="00E8772B">
      <w:pPr>
        <w:numPr>
          <w:ilvl w:val="0"/>
          <w:numId w:val="2"/>
        </w:numPr>
        <w:spacing w:after="0" w:line="240" w:lineRule="auto"/>
        <w:ind w:right="-908"/>
        <w:jc w:val="center"/>
        <w:rPr>
          <w:rFonts w:ascii="Times New Roman" w:eastAsia="Times New Roman" w:hAnsi="Times New Roman" w:cs="Times New Roman"/>
          <w:b/>
          <w:bCs/>
          <w:sz w:val="24"/>
          <w:szCs w:val="24"/>
        </w:rPr>
      </w:pPr>
      <w:r w:rsidRPr="00CD78BC">
        <w:rPr>
          <w:rFonts w:ascii="Times New Roman" w:eastAsia="Times New Roman" w:hAnsi="Times New Roman" w:cs="Times New Roman"/>
          <w:b/>
          <w:bCs/>
          <w:sz w:val="24"/>
          <w:szCs w:val="24"/>
        </w:rPr>
        <w:t>Preces kvalitātes prasības</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bCs/>
          <w:sz w:val="24"/>
          <w:szCs w:val="24"/>
        </w:rPr>
        <w:t xml:space="preserve">4.1.  </w:t>
      </w:r>
      <w:r w:rsidRPr="00CD78BC">
        <w:rPr>
          <w:rFonts w:ascii="Times New Roman" w:eastAsia="Times New Roman" w:hAnsi="Times New Roman" w:cs="Times New Roman"/>
          <w:bCs/>
          <w:sz w:val="24"/>
          <w:szCs w:val="24"/>
        </w:rPr>
        <w:tab/>
      </w:r>
      <w:r w:rsidRPr="00CD78BC">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4.2.</w:t>
      </w:r>
      <w:r w:rsidRPr="00CD78BC">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4.3.</w:t>
      </w:r>
      <w:r w:rsidRPr="00CD78BC">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C6DA4" w:rsidRPr="00F93D49" w:rsidRDefault="008C6DA4" w:rsidP="00F93D49">
      <w:pPr>
        <w:numPr>
          <w:ilvl w:val="0"/>
          <w:numId w:val="2"/>
        </w:numPr>
        <w:spacing w:after="0" w:line="276" w:lineRule="auto"/>
        <w:ind w:right="-908"/>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 xml:space="preserve">Garantija </w:t>
      </w:r>
    </w:p>
    <w:p w:rsidR="008C6DA4" w:rsidRPr="00CD78BC" w:rsidRDefault="008C6DA4" w:rsidP="00E8772B">
      <w:pPr>
        <w:spacing w:after="0" w:line="240" w:lineRule="auto"/>
        <w:ind w:left="567" w:right="-908" w:hanging="567"/>
        <w:jc w:val="both"/>
        <w:rPr>
          <w:rFonts w:ascii="Times New Roman" w:eastAsia="Calibri" w:hAnsi="Times New Roman" w:cs="Times New Roman"/>
          <w:bCs/>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1</w:t>
      </w:r>
      <w:r w:rsidRPr="00CD78BC">
        <w:rPr>
          <w:rFonts w:ascii="Times New Roman" w:eastAsia="Calibri" w:hAnsi="Times New Roman" w:cs="Times New Roman"/>
          <w:bCs/>
          <w:sz w:val="24"/>
          <w:szCs w:val="24"/>
        </w:rPr>
        <w:t xml:space="preserve">. </w:t>
      </w:r>
      <w:r w:rsidRPr="00CD78BC">
        <w:rPr>
          <w:rFonts w:ascii="Times New Roman" w:eastAsia="Calibri" w:hAnsi="Times New Roman" w:cs="Times New Roman"/>
          <w:bCs/>
          <w:sz w:val="24"/>
          <w:szCs w:val="24"/>
        </w:rPr>
        <w:tab/>
        <w:t>Piegādātājs apņemas bez maksas diagnosticēt un novērst jebkuru Preces defektu, ja defekts ir atklāts Preces garantijas laikā.</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2</w:t>
      </w:r>
      <w:r w:rsidRPr="00CD78BC">
        <w:rPr>
          <w:rFonts w:ascii="Times New Roman" w:eastAsia="Calibri" w:hAnsi="Times New Roman" w:cs="Times New Roman"/>
          <w:bCs/>
          <w:sz w:val="24"/>
          <w:szCs w:val="24"/>
        </w:rPr>
        <w:t>.</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Preces garantija neattiecas uz preces defektiem, kas radušies:</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2</w:t>
      </w:r>
      <w:r w:rsidRPr="00CD78BC">
        <w:rPr>
          <w:rFonts w:ascii="Times New Roman" w:eastAsia="Calibri" w:hAnsi="Times New Roman" w:cs="Times New Roman"/>
          <w:bCs/>
          <w:sz w:val="24"/>
          <w:szCs w:val="24"/>
        </w:rPr>
        <w:t>.1.</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ekspluatējot Preci neatbilstoši tās ekspluatācijas noteikumiem (ražotāja instrukcijām);</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2</w:t>
      </w:r>
      <w:r w:rsidRPr="00CD78BC">
        <w:rPr>
          <w:rFonts w:ascii="Times New Roman" w:eastAsia="Calibri" w:hAnsi="Times New Roman" w:cs="Times New Roman"/>
          <w:bCs/>
          <w:sz w:val="24"/>
          <w:szCs w:val="24"/>
        </w:rPr>
        <w:t>.2.</w:t>
      </w:r>
      <w:r w:rsidRPr="00CD78BC">
        <w:rPr>
          <w:rFonts w:ascii="Times New Roman" w:eastAsia="Times New Roman" w:hAnsi="Times New Roman" w:cs="Times New Roman"/>
          <w:sz w:val="24"/>
          <w:szCs w:val="24"/>
        </w:rPr>
        <w:t xml:space="preserve"> </w:t>
      </w:r>
      <w:r w:rsidRPr="00CD78BC">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lastRenderedPageBreak/>
        <w:t>5.</w:t>
      </w:r>
      <w:r w:rsidR="00F93D49">
        <w:rPr>
          <w:rFonts w:ascii="Times New Roman" w:eastAsia="Calibri" w:hAnsi="Times New Roman" w:cs="Times New Roman"/>
          <w:bCs/>
          <w:sz w:val="24"/>
          <w:szCs w:val="24"/>
        </w:rPr>
        <w:t>2</w:t>
      </w:r>
      <w:r w:rsidRPr="00CD78BC">
        <w:rPr>
          <w:rFonts w:ascii="Times New Roman" w:eastAsia="Calibri" w:hAnsi="Times New Roman" w:cs="Times New Roman"/>
          <w:bCs/>
          <w:sz w:val="24"/>
          <w:szCs w:val="24"/>
        </w:rPr>
        <w:t>.3.</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8C6DA4" w:rsidRPr="00CD78BC" w:rsidRDefault="008C6DA4" w:rsidP="00E8772B">
      <w:pPr>
        <w:spacing w:after="0" w:line="240" w:lineRule="auto"/>
        <w:ind w:left="1276" w:right="-908" w:hanging="709"/>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2</w:t>
      </w:r>
      <w:r w:rsidRPr="00CD78BC">
        <w:rPr>
          <w:rFonts w:ascii="Times New Roman" w:eastAsia="Calibri" w:hAnsi="Times New Roman" w:cs="Times New Roman"/>
          <w:bCs/>
          <w:sz w:val="24"/>
          <w:szCs w:val="24"/>
        </w:rPr>
        <w:t>.4.</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nepārvaramas varas apstākļu rezultātā.</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3</w:t>
      </w:r>
      <w:r w:rsidRPr="00CD78BC">
        <w:rPr>
          <w:rFonts w:ascii="Times New Roman" w:eastAsia="Calibri" w:hAnsi="Times New Roman" w:cs="Times New Roman"/>
          <w:bCs/>
          <w:sz w:val="24"/>
          <w:szCs w:val="24"/>
        </w:rPr>
        <w:t>.</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4</w:t>
      </w:r>
      <w:r w:rsidRPr="00CD78BC">
        <w:rPr>
          <w:rFonts w:ascii="Times New Roman" w:eastAsia="Calibri" w:hAnsi="Times New Roman" w:cs="Times New Roman"/>
          <w:bCs/>
          <w:sz w:val="24"/>
          <w:szCs w:val="24"/>
        </w:rPr>
        <w:t>.</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5</w:t>
      </w:r>
      <w:r w:rsidRPr="00CD78BC">
        <w:rPr>
          <w:rFonts w:ascii="Times New Roman" w:eastAsia="Calibri" w:hAnsi="Times New Roman" w:cs="Times New Roman"/>
          <w:bCs/>
          <w:sz w:val="24"/>
          <w:szCs w:val="24"/>
        </w:rPr>
        <w:t>.</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 Ja Piegādātājs nenodrošina Preces nomaiņu šajā punktā noteiktajos termiņos, Pasūtītājs rīkojas saskaņā ar Līguma 7.2.punktā noteikto.</w:t>
      </w:r>
    </w:p>
    <w:p w:rsidR="008C6DA4" w:rsidRPr="00CD78BC" w:rsidRDefault="008C6DA4" w:rsidP="00E8772B">
      <w:pPr>
        <w:spacing w:after="0" w:line="240" w:lineRule="auto"/>
        <w:ind w:left="567" w:right="-908" w:hanging="567"/>
        <w:jc w:val="both"/>
        <w:rPr>
          <w:rFonts w:ascii="Times New Roman" w:eastAsia="Times New Roman" w:hAnsi="Times New Roman" w:cs="Times New Roman"/>
          <w:sz w:val="24"/>
          <w:szCs w:val="24"/>
        </w:rPr>
      </w:pPr>
      <w:r w:rsidRPr="00CD78BC">
        <w:rPr>
          <w:rFonts w:ascii="Times New Roman" w:eastAsia="Calibri" w:hAnsi="Times New Roman" w:cs="Times New Roman"/>
          <w:bCs/>
          <w:sz w:val="24"/>
          <w:szCs w:val="24"/>
        </w:rPr>
        <w:t>5.</w:t>
      </w:r>
      <w:r w:rsidR="00F93D49">
        <w:rPr>
          <w:rFonts w:ascii="Times New Roman" w:eastAsia="Calibri" w:hAnsi="Times New Roman" w:cs="Times New Roman"/>
          <w:bCs/>
          <w:sz w:val="24"/>
          <w:szCs w:val="24"/>
        </w:rPr>
        <w:t>6</w:t>
      </w:r>
      <w:r w:rsidRPr="00CD78BC">
        <w:rPr>
          <w:rFonts w:ascii="Times New Roman" w:eastAsia="Calibri" w:hAnsi="Times New Roman" w:cs="Times New Roman"/>
          <w:bCs/>
          <w:sz w:val="24"/>
          <w:szCs w:val="24"/>
        </w:rPr>
        <w:t>.</w:t>
      </w:r>
      <w:r w:rsidRPr="00CD78BC">
        <w:rPr>
          <w:rFonts w:ascii="Times New Roman" w:eastAsia="Calibri" w:hAnsi="Times New Roman" w:cs="Times New Roman"/>
          <w:bCs/>
          <w:sz w:val="24"/>
          <w:szCs w:val="24"/>
        </w:rPr>
        <w:tab/>
      </w:r>
      <w:r w:rsidRPr="00CD78BC">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8C6DA4" w:rsidRPr="00CD78BC" w:rsidRDefault="008C6DA4" w:rsidP="00E8772B">
      <w:pPr>
        <w:spacing w:after="0" w:line="240" w:lineRule="auto"/>
        <w:ind w:left="567" w:right="-908" w:hanging="567"/>
        <w:jc w:val="both"/>
        <w:rPr>
          <w:rFonts w:ascii="Times New Roman" w:eastAsia="Calibri" w:hAnsi="Times New Roman" w:cs="Times New Roman"/>
          <w:bCs/>
          <w:sz w:val="24"/>
          <w:szCs w:val="24"/>
        </w:rPr>
      </w:pPr>
    </w:p>
    <w:p w:rsidR="008C6DA4" w:rsidRPr="00CD78BC" w:rsidRDefault="008C6DA4" w:rsidP="00E8772B">
      <w:pPr>
        <w:numPr>
          <w:ilvl w:val="0"/>
          <w:numId w:val="2"/>
        </w:numPr>
        <w:spacing w:after="0" w:line="276" w:lineRule="auto"/>
        <w:ind w:right="-908"/>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Pušu saistības</w:t>
      </w:r>
    </w:p>
    <w:p w:rsidR="008C6DA4" w:rsidRPr="00CD78BC" w:rsidRDefault="008C6DA4" w:rsidP="00E8772B">
      <w:pPr>
        <w:numPr>
          <w:ilvl w:val="1"/>
          <w:numId w:val="3"/>
        </w:numPr>
        <w:spacing w:after="0" w:line="240" w:lineRule="auto"/>
        <w:ind w:left="567" w:right="-908" w:hanging="567"/>
        <w:jc w:val="both"/>
        <w:rPr>
          <w:rFonts w:ascii="Times New Roman" w:eastAsia="Calibri" w:hAnsi="Times New Roman" w:cs="Times New Roman"/>
          <w:bCs/>
          <w:sz w:val="24"/>
          <w:szCs w:val="24"/>
        </w:rPr>
      </w:pPr>
      <w:r w:rsidRPr="00CD78BC">
        <w:rPr>
          <w:rFonts w:ascii="Times New Roman" w:eastAsia="Calibri" w:hAnsi="Times New Roman" w:cs="Times New Roman"/>
          <w:sz w:val="24"/>
          <w:szCs w:val="24"/>
        </w:rPr>
        <w:t>Piegādātāja tiesības un pienākumi:</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piegādāt Līguma prasībām atbilstošu, pienācīgas kvalitātes Preci saskaņā ar Līguma noteikumiem;</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transportējot Preci, nodrošināt Preces drošību pret iespējamajiem bojājumiem;</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sagatavot un nodot Pasūtītājam rēķinu par piegādāto Preci;</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veikt Līguma izpildi ar saviem spēkiem, resursiem un līdzekļiem;</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Calibri" w:hAnsi="Times New Roman" w:cs="Times New Roman"/>
          <w:bCs/>
          <w:sz w:val="24"/>
          <w:szCs w:val="24"/>
        </w:rPr>
        <w:t>par piegādātu kvalitatīvu Preci savlaicīgi saņemt rēķinā norādīto summu;</w:t>
      </w:r>
    </w:p>
    <w:p w:rsidR="008C6DA4" w:rsidRPr="00CD78BC" w:rsidRDefault="008C6DA4" w:rsidP="00E8772B">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CD78BC">
        <w:rPr>
          <w:rFonts w:ascii="Times New Roman" w:eastAsia="Calibri" w:hAnsi="Times New Roman" w:cs="Times New Roman"/>
          <w:bCs/>
          <w:sz w:val="24"/>
          <w:szCs w:val="24"/>
        </w:rPr>
        <w:t>saņemt no Pasūtītāja saistību izpildei nepieciešamo informāciju.</w:t>
      </w:r>
    </w:p>
    <w:p w:rsidR="008C6DA4" w:rsidRPr="00CD78BC" w:rsidRDefault="008C6DA4" w:rsidP="00E8772B">
      <w:pPr>
        <w:numPr>
          <w:ilvl w:val="1"/>
          <w:numId w:val="3"/>
        </w:numPr>
        <w:spacing w:after="0" w:line="240" w:lineRule="auto"/>
        <w:ind w:left="567" w:right="-908" w:hanging="567"/>
        <w:jc w:val="both"/>
        <w:rPr>
          <w:rFonts w:ascii="Times New Roman" w:eastAsia="Calibri" w:hAnsi="Times New Roman" w:cs="Times New Roman"/>
          <w:bCs/>
          <w:sz w:val="24"/>
          <w:szCs w:val="24"/>
        </w:rPr>
      </w:pPr>
      <w:r w:rsidRPr="00CD78BC">
        <w:rPr>
          <w:rFonts w:ascii="Times New Roman" w:eastAsia="Calibri" w:hAnsi="Times New Roman" w:cs="Times New Roman"/>
          <w:sz w:val="24"/>
          <w:szCs w:val="24"/>
        </w:rPr>
        <w:t>Pasūtītāja tiesības un pienākumi:</w:t>
      </w:r>
    </w:p>
    <w:p w:rsidR="008C6DA4" w:rsidRPr="00CD78BC" w:rsidRDefault="008C6DA4" w:rsidP="00E8772B">
      <w:pPr>
        <w:numPr>
          <w:ilvl w:val="2"/>
          <w:numId w:val="3"/>
        </w:numPr>
        <w:spacing w:after="0" w:line="240" w:lineRule="auto"/>
        <w:ind w:left="1276" w:right="-908" w:hanging="709"/>
        <w:jc w:val="both"/>
        <w:rPr>
          <w:rFonts w:ascii="Calibri" w:eastAsia="Calibri" w:hAnsi="Calibri" w:cs="Times New Roman"/>
          <w:bCs/>
        </w:rPr>
      </w:pPr>
      <w:r w:rsidRPr="00CD78BC">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8C6DA4" w:rsidRPr="00CD78BC" w:rsidRDefault="008C6DA4" w:rsidP="00E8772B">
      <w:pPr>
        <w:numPr>
          <w:ilvl w:val="2"/>
          <w:numId w:val="3"/>
        </w:numPr>
        <w:spacing w:after="0" w:line="240" w:lineRule="auto"/>
        <w:ind w:left="1276" w:right="-908" w:hanging="709"/>
        <w:jc w:val="both"/>
        <w:rPr>
          <w:rFonts w:ascii="Calibri" w:eastAsia="Calibri" w:hAnsi="Calibri" w:cs="Times New Roman"/>
          <w:bCs/>
        </w:rPr>
      </w:pPr>
      <w:r w:rsidRPr="00CD78BC">
        <w:rPr>
          <w:rFonts w:ascii="Times New Roman" w:eastAsia="Times New Roman" w:hAnsi="Times New Roman" w:cs="Times New Roman"/>
          <w:sz w:val="24"/>
          <w:szCs w:val="24"/>
        </w:rPr>
        <w:t>pārbaudīt piegādātās Preces kvalitāti un atbilstību Līguma noteikumiem;</w:t>
      </w:r>
    </w:p>
    <w:p w:rsidR="008C6DA4" w:rsidRPr="00CD78BC" w:rsidRDefault="008C6DA4" w:rsidP="00E8772B">
      <w:pPr>
        <w:numPr>
          <w:ilvl w:val="2"/>
          <w:numId w:val="3"/>
        </w:numPr>
        <w:spacing w:after="0" w:line="240" w:lineRule="auto"/>
        <w:ind w:left="1276" w:right="-908" w:hanging="709"/>
        <w:jc w:val="both"/>
        <w:rPr>
          <w:rFonts w:ascii="Calibri" w:eastAsia="Calibri" w:hAnsi="Calibri" w:cs="Times New Roman"/>
          <w:bCs/>
        </w:rPr>
      </w:pPr>
      <w:r w:rsidRPr="00CD78BC">
        <w:rPr>
          <w:rFonts w:ascii="Times New Roman" w:eastAsia="Times New Roman" w:hAnsi="Times New Roman" w:cs="Times New Roman"/>
          <w:sz w:val="24"/>
          <w:szCs w:val="24"/>
        </w:rPr>
        <w:t>Līgumā noteiktajā kārtībā savlaicīgi samaksāt par pieņemto, atbilstošo un kvalitatīvo Preci;</w:t>
      </w:r>
    </w:p>
    <w:p w:rsidR="008C6DA4" w:rsidRPr="00CD78BC" w:rsidRDefault="008C6DA4" w:rsidP="00E8772B">
      <w:pPr>
        <w:numPr>
          <w:ilvl w:val="2"/>
          <w:numId w:val="3"/>
        </w:numPr>
        <w:spacing w:after="0" w:line="240" w:lineRule="auto"/>
        <w:ind w:left="1276" w:right="-908" w:hanging="709"/>
        <w:jc w:val="both"/>
        <w:rPr>
          <w:rFonts w:ascii="Calibri" w:eastAsia="Calibri" w:hAnsi="Calibri" w:cs="Times New Roman"/>
          <w:bCs/>
        </w:rPr>
      </w:pPr>
      <w:r w:rsidRPr="00CD78BC">
        <w:rPr>
          <w:rFonts w:ascii="Times New Roman" w:eastAsia="Times New Roman" w:hAnsi="Times New Roman" w:cs="Times New Roman"/>
          <w:sz w:val="24"/>
          <w:szCs w:val="24"/>
        </w:rPr>
        <w:t>dot Piegādātājam saistošus norādījumus attiecībā uz Līguma izpildi;</w:t>
      </w:r>
    </w:p>
    <w:p w:rsidR="008C6DA4" w:rsidRPr="00CD78BC" w:rsidRDefault="008C6DA4" w:rsidP="00E8772B">
      <w:pPr>
        <w:numPr>
          <w:ilvl w:val="2"/>
          <w:numId w:val="3"/>
        </w:numPr>
        <w:spacing w:after="0" w:line="240" w:lineRule="auto"/>
        <w:ind w:left="1276" w:right="-908" w:hanging="709"/>
        <w:jc w:val="both"/>
        <w:rPr>
          <w:rFonts w:ascii="Calibri" w:eastAsia="Calibri" w:hAnsi="Calibri" w:cs="Times New Roman"/>
          <w:bCs/>
        </w:rPr>
      </w:pPr>
      <w:r w:rsidRPr="00CD78BC">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8C6DA4" w:rsidRPr="00CD78BC" w:rsidRDefault="008C6DA4" w:rsidP="00E8772B">
      <w:pPr>
        <w:numPr>
          <w:ilvl w:val="2"/>
          <w:numId w:val="3"/>
        </w:numPr>
        <w:spacing w:after="0" w:line="240" w:lineRule="auto"/>
        <w:ind w:left="1276" w:right="-908" w:hanging="709"/>
        <w:jc w:val="both"/>
        <w:rPr>
          <w:rFonts w:ascii="Calibri" w:eastAsia="Calibri" w:hAnsi="Calibri" w:cs="Times New Roman"/>
          <w:bCs/>
        </w:rPr>
      </w:pPr>
      <w:r w:rsidRPr="00CD78BC">
        <w:rPr>
          <w:rFonts w:ascii="Times New Roman" w:eastAsia="Times New Roman" w:hAnsi="Times New Roman" w:cs="Times New Roman"/>
          <w:sz w:val="24"/>
          <w:szCs w:val="24"/>
        </w:rPr>
        <w:lastRenderedPageBreak/>
        <w:t>nekvalitatīvas un Līguma prasībām neatbilstošas Preces piegādes gadījumā, lūgt Piegādātāju ne vēlāk kā 10 (desmit) darba dienu laikā apmainīt to pret jaunu, nelietotu, Līguma prasībām atbilstošu;</w:t>
      </w:r>
    </w:p>
    <w:p w:rsidR="008C6DA4" w:rsidRPr="00CD78BC" w:rsidRDefault="008C6DA4" w:rsidP="00E8772B">
      <w:pPr>
        <w:numPr>
          <w:ilvl w:val="2"/>
          <w:numId w:val="3"/>
        </w:numPr>
        <w:spacing w:after="0" w:line="240" w:lineRule="auto"/>
        <w:ind w:left="1276" w:right="-908" w:hanging="709"/>
        <w:jc w:val="both"/>
        <w:rPr>
          <w:rFonts w:ascii="Calibri" w:eastAsia="Calibri" w:hAnsi="Calibri" w:cs="Times New Roman"/>
          <w:bCs/>
        </w:rPr>
      </w:pPr>
      <w:r w:rsidRPr="00CD78BC">
        <w:rPr>
          <w:rFonts w:ascii="Times New Roman" w:eastAsia="Times New Roman" w:hAnsi="Times New Roman" w:cs="Times New Roman"/>
          <w:sz w:val="24"/>
          <w:szCs w:val="24"/>
        </w:rPr>
        <w:t>aizstāt Pasūtītāju kā Pusi ar citu iestādi, ja Pasūtītāju kā iestādi reorganizē vai mainās tā kompetence.</w:t>
      </w:r>
    </w:p>
    <w:p w:rsidR="008C6DA4" w:rsidRPr="00CD78BC" w:rsidRDefault="008C6DA4" w:rsidP="00E8772B">
      <w:pPr>
        <w:spacing w:after="0" w:line="240" w:lineRule="auto"/>
        <w:ind w:right="-908"/>
        <w:jc w:val="both"/>
        <w:rPr>
          <w:rFonts w:ascii="Times New Roman" w:eastAsia="Times New Roman" w:hAnsi="Times New Roman" w:cs="Times New Roman"/>
          <w:b/>
          <w:bCs/>
          <w:sz w:val="24"/>
          <w:szCs w:val="24"/>
        </w:rPr>
      </w:pPr>
    </w:p>
    <w:p w:rsidR="008C6DA4" w:rsidRPr="00CD78BC" w:rsidRDefault="008C6DA4" w:rsidP="00E8772B">
      <w:pPr>
        <w:numPr>
          <w:ilvl w:val="0"/>
          <w:numId w:val="3"/>
        </w:numPr>
        <w:spacing w:after="0" w:line="276" w:lineRule="auto"/>
        <w:ind w:left="567" w:right="-908" w:hanging="567"/>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Pušu atbildība</w:t>
      </w:r>
    </w:p>
    <w:p w:rsidR="008C6DA4" w:rsidRPr="00CD78BC" w:rsidRDefault="008C6DA4" w:rsidP="00E8772B">
      <w:pPr>
        <w:numPr>
          <w:ilvl w:val="1"/>
          <w:numId w:val="3"/>
        </w:numPr>
        <w:spacing w:after="0" w:line="240" w:lineRule="auto"/>
        <w:ind w:left="567" w:right="-908" w:hanging="567"/>
        <w:jc w:val="both"/>
        <w:rPr>
          <w:rFonts w:ascii="Times New Roman" w:eastAsia="Calibri" w:hAnsi="Times New Roman" w:cs="Times New Roman"/>
          <w:bCs/>
          <w:sz w:val="24"/>
          <w:szCs w:val="24"/>
        </w:rPr>
      </w:pPr>
      <w:r w:rsidRPr="00CD78BC">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CD78BC">
        <w:rPr>
          <w:rFonts w:ascii="Times New Roman" w:eastAsia="Calibri" w:hAnsi="Times New Roman" w:cs="Times New Roman"/>
          <w:sz w:val="24"/>
          <w:szCs w:val="24"/>
        </w:rPr>
        <w:t>nodarītāja</w:t>
      </w:r>
      <w:proofErr w:type="spellEnd"/>
      <w:r w:rsidRPr="00CD78BC">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Ja Piegādātājs nepilda Līguma 5.6.punktā noteikto pienākumu un neveic defektētās Preces apmaiņu pret jaunu, Pasūtītājs šādā gadījumā ir tiesīgs piemērot Piegādātājam līgumsodu 0,1% apmērā par katru kavējuma dienu (sākot ar 22.dienu), bet ne vairāk kā 10% no kopējās Preces vērtības.</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Līgumsoda samaksa neatbrīvo Puses no turpmākas saistību izpildes pienākuma un netiek ieskaitīta zaudējumu atlīdzībā.</w:t>
      </w:r>
    </w:p>
    <w:p w:rsidR="008C6DA4" w:rsidRPr="00CD78BC" w:rsidRDefault="008C6DA4" w:rsidP="00E8772B">
      <w:pPr>
        <w:numPr>
          <w:ilvl w:val="0"/>
          <w:numId w:val="3"/>
        </w:numPr>
        <w:spacing w:after="0" w:line="276" w:lineRule="auto"/>
        <w:ind w:right="-908"/>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Citi noteikumi</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 xml:space="preserve">Jebkuri Līguma grozījumi tiek noformēti </w:t>
      </w:r>
      <w:proofErr w:type="spellStart"/>
      <w:r w:rsidRPr="00CD78BC">
        <w:rPr>
          <w:rFonts w:ascii="Times New Roman" w:eastAsia="Times New Roman" w:hAnsi="Times New Roman" w:cs="Times New Roman"/>
          <w:sz w:val="24"/>
          <w:szCs w:val="24"/>
        </w:rPr>
        <w:t>rakstveidā</w:t>
      </w:r>
      <w:proofErr w:type="spellEnd"/>
      <w:r w:rsidRPr="00CD78BC">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lastRenderedPageBreak/>
        <w:t xml:space="preserve">Ja kādai no Pusēm tiek mainīti rekvizīti vai Līguma </w:t>
      </w:r>
      <w:r w:rsidR="00DD3BBA">
        <w:rPr>
          <w:rFonts w:ascii="Times New Roman" w:eastAsia="Times New Roman" w:hAnsi="Times New Roman" w:cs="Times New Roman"/>
          <w:sz w:val="24"/>
          <w:szCs w:val="24"/>
        </w:rPr>
        <w:t>8.7</w:t>
      </w:r>
      <w:r w:rsidRPr="00CD78BC">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8C6DA4" w:rsidRPr="00557C4B"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Pušu kontaktpersonas Līguma izpildes laikā:</w:t>
      </w:r>
    </w:p>
    <w:p w:rsidR="00557C4B" w:rsidRPr="004C22A9" w:rsidRDefault="004C22A9" w:rsidP="00557C4B">
      <w:pPr>
        <w:pStyle w:val="ListParagraph"/>
        <w:numPr>
          <w:ilvl w:val="2"/>
          <w:numId w:val="3"/>
        </w:numPr>
        <w:spacing w:after="0" w:line="240" w:lineRule="auto"/>
        <w:ind w:left="1276" w:right="-908"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w:t>
      </w:r>
      <w:r w:rsidR="00557C4B" w:rsidRPr="00557C4B">
        <w:rPr>
          <w:rFonts w:ascii="Times New Roman" w:eastAsia="Calibri" w:hAnsi="Times New Roman" w:cs="Times New Roman"/>
          <w:bCs/>
          <w:sz w:val="24"/>
          <w:szCs w:val="24"/>
        </w:rPr>
        <w:t>o Pasūtītāja puses:</w:t>
      </w:r>
      <w:r w:rsidR="00ED3BD4">
        <w:rPr>
          <w:rFonts w:ascii="Times New Roman" w:eastAsia="Calibri" w:hAnsi="Times New Roman" w:cs="Times New Roman"/>
          <w:bCs/>
          <w:sz w:val="24"/>
          <w:szCs w:val="24"/>
        </w:rPr>
        <w:t xml:space="preserve"> </w:t>
      </w:r>
      <w:r w:rsidR="0006551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4C22A9" w:rsidRPr="00557C4B" w:rsidRDefault="004C22A9" w:rsidP="00557C4B">
      <w:pPr>
        <w:pStyle w:val="ListParagraph"/>
        <w:numPr>
          <w:ilvl w:val="2"/>
          <w:numId w:val="3"/>
        </w:numPr>
        <w:spacing w:after="0" w:line="240" w:lineRule="auto"/>
        <w:ind w:left="1276" w:right="-908"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06551E">
        <w:rPr>
          <w:rFonts w:ascii="Times New Roman" w:eastAsia="Calibri" w:hAnsi="Times New Roman" w:cs="Times New Roman"/>
          <w:bCs/>
          <w:sz w:val="24"/>
          <w:szCs w:val="24"/>
        </w:rPr>
        <w:t>(..)</w:t>
      </w:r>
    </w:p>
    <w:p w:rsidR="008C6DA4" w:rsidRPr="00CD78BC" w:rsidRDefault="008C6DA4" w:rsidP="00E8772B">
      <w:pPr>
        <w:numPr>
          <w:ilvl w:val="1"/>
          <w:numId w:val="3"/>
        </w:numPr>
        <w:spacing w:after="0" w:line="240" w:lineRule="auto"/>
        <w:ind w:left="567" w:right="-908" w:hanging="567"/>
        <w:jc w:val="both"/>
        <w:rPr>
          <w:rFonts w:ascii="Calibri" w:eastAsia="Calibri" w:hAnsi="Calibri" w:cs="Times New Roman"/>
          <w:bCs/>
        </w:rPr>
      </w:pPr>
      <w:r w:rsidRPr="00CD78BC">
        <w:rPr>
          <w:rFonts w:ascii="Times New Roman" w:eastAsia="Times New Roman" w:hAnsi="Times New Roman" w:cs="Times New Roman"/>
          <w:sz w:val="24"/>
          <w:szCs w:val="24"/>
        </w:rPr>
        <w:t xml:space="preserve">Līgums sagatavots latviešu valodā uz </w:t>
      </w:r>
      <w:r w:rsidR="00B2325A">
        <w:rPr>
          <w:rFonts w:ascii="Times New Roman" w:eastAsia="Times New Roman" w:hAnsi="Times New Roman" w:cs="Times New Roman"/>
          <w:sz w:val="24"/>
          <w:szCs w:val="24"/>
        </w:rPr>
        <w:t>13</w:t>
      </w:r>
      <w:r w:rsidR="00806A38">
        <w:rPr>
          <w:rFonts w:ascii="Times New Roman" w:eastAsia="Times New Roman" w:hAnsi="Times New Roman" w:cs="Times New Roman"/>
          <w:sz w:val="24"/>
          <w:szCs w:val="24"/>
        </w:rPr>
        <w:t xml:space="preserve"> (</w:t>
      </w:r>
      <w:r w:rsidR="00B2325A">
        <w:rPr>
          <w:rFonts w:ascii="Times New Roman" w:eastAsia="Times New Roman" w:hAnsi="Times New Roman" w:cs="Times New Roman"/>
          <w:sz w:val="24"/>
          <w:szCs w:val="24"/>
        </w:rPr>
        <w:t>trīspadsmit</w:t>
      </w:r>
      <w:r w:rsidR="00806A38">
        <w:rPr>
          <w:rFonts w:ascii="Times New Roman" w:eastAsia="Times New Roman" w:hAnsi="Times New Roman" w:cs="Times New Roman"/>
          <w:sz w:val="24"/>
          <w:szCs w:val="24"/>
        </w:rPr>
        <w:t>)</w:t>
      </w:r>
      <w:r w:rsidRPr="00CD78BC">
        <w:rPr>
          <w:rFonts w:ascii="Times New Roman" w:eastAsia="Times New Roman" w:hAnsi="Times New Roman" w:cs="Times New Roman"/>
          <w:sz w:val="24"/>
          <w:szCs w:val="24"/>
        </w:rPr>
        <w:t xml:space="preserve"> lapām, ar pielikumiem, visi eksemplāri ir ar vienādu juridisko spēku. Viens no Līguma eksemplāriem atrodas pie Pasūtītāja, bet otrs – pie Piegādātāja.</w:t>
      </w:r>
    </w:p>
    <w:p w:rsidR="008C6DA4" w:rsidRPr="00CD78BC" w:rsidRDefault="008C6DA4" w:rsidP="008C6DA4">
      <w:pPr>
        <w:spacing w:after="0" w:line="240" w:lineRule="auto"/>
        <w:ind w:right="-6"/>
        <w:jc w:val="both"/>
        <w:rPr>
          <w:rFonts w:ascii="Times New Roman" w:eastAsia="Calibri" w:hAnsi="Times New Roman" w:cs="Times New Roman"/>
          <w:bCs/>
          <w:sz w:val="24"/>
          <w:szCs w:val="24"/>
        </w:rPr>
      </w:pPr>
    </w:p>
    <w:p w:rsidR="008C6DA4" w:rsidRPr="00CD78BC" w:rsidRDefault="008C6DA4" w:rsidP="008C6DA4">
      <w:pPr>
        <w:numPr>
          <w:ilvl w:val="0"/>
          <w:numId w:val="3"/>
        </w:numPr>
        <w:spacing w:after="0" w:line="240" w:lineRule="auto"/>
        <w:ind w:right="-6"/>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Pušu juridiskās adreses un rekvizīti:</w:t>
      </w:r>
    </w:p>
    <w:p w:rsidR="008C6DA4" w:rsidRDefault="008C6DA4" w:rsidP="008C6DA4"/>
    <w:tbl>
      <w:tblPr>
        <w:tblW w:w="20023" w:type="dxa"/>
        <w:tblInd w:w="-106" w:type="dxa"/>
        <w:tblLook w:val="01E0" w:firstRow="1" w:lastRow="1" w:firstColumn="1" w:lastColumn="1" w:noHBand="0" w:noVBand="0"/>
      </w:tblPr>
      <w:tblGrid>
        <w:gridCol w:w="4926"/>
        <w:gridCol w:w="4926"/>
        <w:gridCol w:w="4926"/>
        <w:gridCol w:w="5245"/>
      </w:tblGrid>
      <w:tr w:rsidR="0081475D" w:rsidRPr="00C122DB" w:rsidTr="0081475D">
        <w:trPr>
          <w:trHeight w:val="104"/>
        </w:trPr>
        <w:tc>
          <w:tcPr>
            <w:tcW w:w="4926" w:type="dxa"/>
          </w:tcPr>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1475D"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81475D" w:rsidRPr="00E647BE"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4926" w:type="dxa"/>
          </w:tcPr>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81475D" w:rsidRPr="00C122DB" w:rsidRDefault="0081475D" w:rsidP="0081475D">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AccuMed</w:t>
            </w:r>
            <w:proofErr w:type="spellEnd"/>
            <w:r>
              <w:rPr>
                <w:rFonts w:ascii="Times New Roman" w:eastAsia="Times New Roman" w:hAnsi="Times New Roman" w:cs="Times New Roman"/>
                <w:b/>
                <w:bCs/>
                <w:sz w:val="24"/>
                <w:szCs w:val="24"/>
              </w:rPr>
              <w:t>”</w:t>
            </w:r>
          </w:p>
          <w:p w:rsidR="0081475D" w:rsidRPr="00DE110D" w:rsidRDefault="0081475D" w:rsidP="0081475D">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40103958923</w:t>
            </w:r>
          </w:p>
          <w:p w:rsidR="0081475D" w:rsidRDefault="0081475D" w:rsidP="0081475D">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Skultes iela 15-17, Rīgas raj., Mārupes nov.,</w:t>
            </w:r>
          </w:p>
          <w:p w:rsidR="0081475D" w:rsidRPr="00DE110D" w:rsidRDefault="0081475D" w:rsidP="0081475D">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- 2108</w:t>
            </w:r>
          </w:p>
          <w:p w:rsidR="0081475D" w:rsidRPr="00DE110D" w:rsidRDefault="0081475D" w:rsidP="0081475D">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81475D" w:rsidRPr="00DE110D" w:rsidRDefault="0081475D" w:rsidP="0081475D">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81475D" w:rsidRPr="00DE110D" w:rsidRDefault="0081475D" w:rsidP="0081475D">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LV92HABA0551041044299</w:t>
            </w:r>
          </w:p>
          <w:p w:rsidR="0081475D"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p>
          <w:p w:rsidR="0081475D"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97C66">
              <w:rPr>
                <w:rFonts w:ascii="Times New Roman" w:eastAsia="Times New Roman" w:hAnsi="Times New Roman" w:cs="Times New Roman"/>
                <w:bCs/>
                <w:sz w:val="24"/>
                <w:szCs w:val="24"/>
              </w:rPr>
              <w:t>A.Voroņins</w:t>
            </w:r>
            <w:proofErr w:type="spellEnd"/>
          </w:p>
        </w:tc>
        <w:tc>
          <w:tcPr>
            <w:tcW w:w="4926" w:type="dxa"/>
          </w:tcPr>
          <w:p w:rsidR="0081475D" w:rsidRPr="00E647BE"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p>
        </w:tc>
        <w:tc>
          <w:tcPr>
            <w:tcW w:w="5245" w:type="dxa"/>
          </w:tcPr>
          <w:p w:rsidR="0081475D" w:rsidRPr="00C122DB" w:rsidRDefault="0081475D" w:rsidP="0081475D">
            <w:pPr>
              <w:tabs>
                <w:tab w:val="left" w:pos="2160"/>
              </w:tabs>
              <w:spacing w:after="0" w:line="256" w:lineRule="auto"/>
              <w:ind w:right="-2"/>
              <w:jc w:val="both"/>
              <w:rPr>
                <w:rFonts w:ascii="Times New Roman" w:eastAsia="Times New Roman" w:hAnsi="Times New Roman" w:cs="Times New Roman"/>
                <w:bCs/>
                <w:sz w:val="24"/>
                <w:szCs w:val="24"/>
              </w:rPr>
            </w:pPr>
          </w:p>
        </w:tc>
      </w:tr>
    </w:tbl>
    <w:p w:rsidR="0006551E" w:rsidRDefault="0006551E">
      <w:pPr>
        <w:sectPr w:rsidR="0006551E" w:rsidSect="00CE0CE8">
          <w:footerReference w:type="default" r:id="rId7"/>
          <w:pgSz w:w="11906" w:h="16838"/>
          <w:pgMar w:top="1440" w:right="1800" w:bottom="1440" w:left="1800" w:header="708" w:footer="708" w:gutter="0"/>
          <w:cols w:space="708"/>
          <w:titlePg/>
          <w:docGrid w:linePitch="360"/>
        </w:sectPr>
      </w:pPr>
    </w:p>
    <w:p w:rsidR="0006551E" w:rsidRDefault="0006551E"/>
    <w:p w:rsidR="0006551E" w:rsidRDefault="0006551E">
      <w:r>
        <w:br w:type="page"/>
      </w:r>
    </w:p>
    <w:p w:rsidR="001734E4" w:rsidRDefault="001734E4">
      <w:pPr>
        <w:sectPr w:rsidR="001734E4" w:rsidSect="0006551E">
          <w:pgSz w:w="11906" w:h="16838"/>
          <w:pgMar w:top="1440" w:right="1800" w:bottom="1440" w:left="1800" w:header="708" w:footer="708" w:gutter="0"/>
          <w:cols w:space="708"/>
          <w:titlePg/>
          <w:docGrid w:linePitch="360"/>
        </w:sectPr>
      </w:pPr>
    </w:p>
    <w:p w:rsidR="001734E4" w:rsidRDefault="001734E4">
      <w:pPr>
        <w:sectPr w:rsidR="001734E4" w:rsidSect="0006551E">
          <w:pgSz w:w="16838" w:h="11906" w:orient="landscape"/>
          <w:pgMar w:top="1797" w:right="1440" w:bottom="1797" w:left="1440" w:header="708" w:footer="708" w:gutter="0"/>
          <w:cols w:space="708"/>
          <w:titlePg/>
          <w:docGrid w:linePitch="360"/>
        </w:sectPr>
      </w:pPr>
      <w:bookmarkStart w:id="1" w:name="_GoBack"/>
      <w:bookmarkEnd w:id="1"/>
    </w:p>
    <w:p w:rsidR="00CE0CE8" w:rsidRDefault="00CE0CE8">
      <w:pPr>
        <w:sectPr w:rsidR="00CE0CE8" w:rsidSect="0006551E">
          <w:pgSz w:w="16838" w:h="11906" w:orient="landscape"/>
          <w:pgMar w:top="1797" w:right="1440" w:bottom="1797" w:left="1440" w:header="708" w:footer="708" w:gutter="0"/>
          <w:cols w:space="708"/>
          <w:titlePg/>
          <w:docGrid w:linePitch="360"/>
        </w:sectPr>
      </w:pPr>
    </w:p>
    <w:tbl>
      <w:tblPr>
        <w:tblW w:w="14611" w:type="dxa"/>
        <w:tblLook w:val="04A0" w:firstRow="1" w:lastRow="0" w:firstColumn="1" w:lastColumn="0" w:noHBand="0" w:noVBand="1"/>
      </w:tblPr>
      <w:tblGrid>
        <w:gridCol w:w="14611"/>
      </w:tblGrid>
      <w:tr w:rsidR="00CE0CE8" w:rsidRPr="00CE0CE8" w:rsidTr="001734E4">
        <w:trPr>
          <w:trHeight w:val="315"/>
        </w:trPr>
        <w:tc>
          <w:tcPr>
            <w:tcW w:w="14611" w:type="dxa"/>
            <w:tcBorders>
              <w:top w:val="nil"/>
              <w:left w:val="nil"/>
              <w:bottom w:val="nil"/>
              <w:right w:val="nil"/>
            </w:tcBorders>
            <w:shd w:val="clear" w:color="auto" w:fill="auto"/>
            <w:noWrap/>
          </w:tcPr>
          <w:p w:rsidR="00CE0CE8" w:rsidRPr="00CE0CE8" w:rsidRDefault="00CE0CE8" w:rsidP="00CE0CE8">
            <w:pPr>
              <w:spacing w:after="0" w:line="240" w:lineRule="auto"/>
              <w:jc w:val="center"/>
              <w:rPr>
                <w:rFonts w:ascii="Times New Roman" w:eastAsia="Times New Roman" w:hAnsi="Times New Roman" w:cs="Times New Roman"/>
                <w:i/>
                <w:iCs/>
                <w:color w:val="000000"/>
                <w:sz w:val="24"/>
                <w:szCs w:val="24"/>
                <w:lang w:eastAsia="lv-LV"/>
              </w:rPr>
            </w:pPr>
          </w:p>
        </w:tc>
      </w:tr>
    </w:tbl>
    <w:p w:rsidR="00CE0CE8" w:rsidRDefault="00CE0CE8" w:rsidP="0006551E"/>
    <w:sectPr w:rsidR="00CE0CE8" w:rsidSect="0006551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4E4" w:rsidRDefault="001734E4" w:rsidP="00CE0CE8">
      <w:pPr>
        <w:spacing w:after="0" w:line="240" w:lineRule="auto"/>
      </w:pPr>
      <w:r>
        <w:separator/>
      </w:r>
    </w:p>
  </w:endnote>
  <w:endnote w:type="continuationSeparator" w:id="0">
    <w:p w:rsidR="001734E4" w:rsidRDefault="001734E4" w:rsidP="00CE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99494"/>
      <w:docPartObj>
        <w:docPartGallery w:val="Page Numbers (Bottom of Page)"/>
        <w:docPartUnique/>
      </w:docPartObj>
    </w:sdtPr>
    <w:sdtEndPr>
      <w:rPr>
        <w:noProof/>
      </w:rPr>
    </w:sdtEndPr>
    <w:sdtContent>
      <w:p w:rsidR="001734E4" w:rsidRDefault="00173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734E4" w:rsidRDefault="0017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4E4" w:rsidRDefault="001734E4" w:rsidP="00CE0CE8">
      <w:pPr>
        <w:spacing w:after="0" w:line="240" w:lineRule="auto"/>
      </w:pPr>
      <w:r>
        <w:separator/>
      </w:r>
    </w:p>
  </w:footnote>
  <w:footnote w:type="continuationSeparator" w:id="0">
    <w:p w:rsidR="001734E4" w:rsidRDefault="001734E4" w:rsidP="00CE0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AB7"/>
    <w:multiLevelType w:val="multilevel"/>
    <w:tmpl w:val="2672312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D5C8D1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A4"/>
    <w:rsid w:val="0006551E"/>
    <w:rsid w:val="001625EE"/>
    <w:rsid w:val="001734E4"/>
    <w:rsid w:val="002002F1"/>
    <w:rsid w:val="00462B07"/>
    <w:rsid w:val="00493E93"/>
    <w:rsid w:val="004C22A9"/>
    <w:rsid w:val="00557C4B"/>
    <w:rsid w:val="00806A38"/>
    <w:rsid w:val="0081475D"/>
    <w:rsid w:val="008C6DA4"/>
    <w:rsid w:val="009F296F"/>
    <w:rsid w:val="009F36F5"/>
    <w:rsid w:val="00B2325A"/>
    <w:rsid w:val="00CE0CE8"/>
    <w:rsid w:val="00DD3BBA"/>
    <w:rsid w:val="00E8772B"/>
    <w:rsid w:val="00E97C66"/>
    <w:rsid w:val="00ED3BD4"/>
    <w:rsid w:val="00F06D69"/>
    <w:rsid w:val="00F93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839B"/>
  <w15:chartTrackingRefBased/>
  <w15:docId w15:val="{FE65613A-747C-49D3-A027-69A9CA3D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4B"/>
    <w:pPr>
      <w:ind w:left="720"/>
      <w:contextualSpacing/>
    </w:pPr>
  </w:style>
  <w:style w:type="character" w:styleId="Hyperlink">
    <w:name w:val="Hyperlink"/>
    <w:basedOn w:val="DefaultParagraphFont"/>
    <w:uiPriority w:val="99"/>
    <w:unhideWhenUsed/>
    <w:rsid w:val="00ED3BD4"/>
    <w:rPr>
      <w:color w:val="0563C1" w:themeColor="hyperlink"/>
      <w:u w:val="single"/>
    </w:rPr>
  </w:style>
  <w:style w:type="paragraph" w:styleId="Header">
    <w:name w:val="header"/>
    <w:basedOn w:val="Normal"/>
    <w:link w:val="HeaderChar"/>
    <w:uiPriority w:val="99"/>
    <w:unhideWhenUsed/>
    <w:rsid w:val="00CE0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CE8"/>
  </w:style>
  <w:style w:type="paragraph" w:styleId="Footer">
    <w:name w:val="footer"/>
    <w:basedOn w:val="Normal"/>
    <w:link w:val="FooterChar"/>
    <w:uiPriority w:val="99"/>
    <w:unhideWhenUsed/>
    <w:rsid w:val="00CE0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585749">
      <w:bodyDiv w:val="1"/>
      <w:marLeft w:val="0"/>
      <w:marRight w:val="0"/>
      <w:marTop w:val="0"/>
      <w:marBottom w:val="0"/>
      <w:divBdr>
        <w:top w:val="none" w:sz="0" w:space="0" w:color="auto"/>
        <w:left w:val="none" w:sz="0" w:space="0" w:color="auto"/>
        <w:bottom w:val="none" w:sz="0" w:space="0" w:color="auto"/>
        <w:right w:val="none" w:sz="0" w:space="0" w:color="auto"/>
      </w:divBdr>
    </w:div>
    <w:div w:id="1538661239">
      <w:bodyDiv w:val="1"/>
      <w:marLeft w:val="0"/>
      <w:marRight w:val="0"/>
      <w:marTop w:val="0"/>
      <w:marBottom w:val="0"/>
      <w:divBdr>
        <w:top w:val="none" w:sz="0" w:space="0" w:color="auto"/>
        <w:left w:val="none" w:sz="0" w:space="0" w:color="auto"/>
        <w:bottom w:val="none" w:sz="0" w:space="0" w:color="auto"/>
        <w:right w:val="none" w:sz="0" w:space="0" w:color="auto"/>
      </w:divBdr>
    </w:div>
    <w:div w:id="1642422474">
      <w:bodyDiv w:val="1"/>
      <w:marLeft w:val="0"/>
      <w:marRight w:val="0"/>
      <w:marTop w:val="0"/>
      <w:marBottom w:val="0"/>
      <w:divBdr>
        <w:top w:val="none" w:sz="0" w:space="0" w:color="auto"/>
        <w:left w:val="none" w:sz="0" w:space="0" w:color="auto"/>
        <w:bottom w:val="none" w:sz="0" w:space="0" w:color="auto"/>
        <w:right w:val="none" w:sz="0" w:space="0" w:color="auto"/>
      </w:divBdr>
    </w:div>
    <w:div w:id="1911109385">
      <w:bodyDiv w:val="1"/>
      <w:marLeft w:val="0"/>
      <w:marRight w:val="0"/>
      <w:marTop w:val="0"/>
      <w:marBottom w:val="0"/>
      <w:divBdr>
        <w:top w:val="none" w:sz="0" w:space="0" w:color="auto"/>
        <w:left w:val="none" w:sz="0" w:space="0" w:color="auto"/>
        <w:bottom w:val="none" w:sz="0" w:space="0" w:color="auto"/>
        <w:right w:val="none" w:sz="0" w:space="0" w:color="auto"/>
      </w:divBdr>
    </w:div>
    <w:div w:id="19451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8929</Words>
  <Characters>5090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17</cp:revision>
  <dcterms:created xsi:type="dcterms:W3CDTF">2018-05-07T11:59:00Z</dcterms:created>
  <dcterms:modified xsi:type="dcterms:W3CDTF">2018-05-21T11:30:00Z</dcterms:modified>
</cp:coreProperties>
</file>