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A0C0" w14:textId="5982255E" w:rsidR="00625360" w:rsidRDefault="00D373CE" w:rsidP="00625360">
      <w:pPr>
        <w:pStyle w:val="Title"/>
        <w:spacing w:before="0" w:after="0" w:afterAutospacing="0"/>
      </w:pPr>
      <w:r>
        <w:t>LĪGUMS Nr. SKUS 465/17</w:t>
      </w:r>
    </w:p>
    <w:p w14:paraId="39B393AF" w14:textId="77777777" w:rsidR="00625360" w:rsidRPr="005B6D0F" w:rsidRDefault="00625360" w:rsidP="00625360">
      <w:pPr>
        <w:suppressAutoHyphens/>
        <w:autoSpaceDN w:val="0"/>
        <w:jc w:val="center"/>
        <w:textAlignment w:val="baseline"/>
        <w:rPr>
          <w:bCs/>
        </w:rPr>
      </w:pPr>
      <w:r>
        <w:rPr>
          <w:bCs/>
          <w:i/>
        </w:rPr>
        <w:t>Microsoft licenču īre</w:t>
      </w:r>
    </w:p>
    <w:p w14:paraId="39356150" w14:textId="77777777" w:rsidR="00625360" w:rsidRPr="005B6D0F" w:rsidRDefault="00625360" w:rsidP="00625360">
      <w:pPr>
        <w:suppressAutoHyphens/>
        <w:autoSpaceDN w:val="0"/>
        <w:textAlignment w:val="baseline"/>
        <w:rPr>
          <w:bCs/>
          <w:sz w:val="23"/>
          <w:szCs w:val="23"/>
        </w:rPr>
      </w:pPr>
    </w:p>
    <w:p w14:paraId="4FE31181" w14:textId="23F06EAC" w:rsidR="00625360" w:rsidRPr="005B6D0F" w:rsidRDefault="00625360" w:rsidP="00846BED">
      <w:pPr>
        <w:widowControl w:val="0"/>
        <w:tabs>
          <w:tab w:val="right" w:pos="9072"/>
        </w:tabs>
        <w:suppressAutoHyphens/>
        <w:overflowPunct w:val="0"/>
        <w:autoSpaceDN w:val="0"/>
        <w:ind w:right="-766"/>
        <w:textAlignment w:val="baseline"/>
        <w:rPr>
          <w:bCs/>
        </w:rPr>
      </w:pPr>
      <w:r w:rsidRPr="005B6D0F">
        <w:rPr>
          <w:bCs/>
        </w:rPr>
        <w:t>Rīgā,</w:t>
      </w:r>
      <w:r w:rsidRPr="005B6D0F">
        <w:rPr>
          <w:bCs/>
        </w:rPr>
        <w:tab/>
        <w:t xml:space="preserve">  201</w:t>
      </w:r>
      <w:r>
        <w:rPr>
          <w:bCs/>
        </w:rPr>
        <w:t>7</w:t>
      </w:r>
      <w:r w:rsidR="00D373CE">
        <w:rPr>
          <w:bCs/>
        </w:rPr>
        <w:t>. gada 30.jūnijs</w:t>
      </w:r>
    </w:p>
    <w:p w14:paraId="55235ABA" w14:textId="77777777" w:rsidR="00625360" w:rsidRPr="005B6D0F" w:rsidRDefault="00625360" w:rsidP="00846BED">
      <w:pPr>
        <w:widowControl w:val="0"/>
        <w:suppressAutoHyphens/>
        <w:overflowPunct w:val="0"/>
        <w:autoSpaceDN w:val="0"/>
        <w:ind w:right="-766"/>
        <w:textAlignment w:val="baseline"/>
        <w:rPr>
          <w:b/>
          <w:sz w:val="23"/>
          <w:szCs w:val="23"/>
        </w:rPr>
      </w:pPr>
    </w:p>
    <w:p w14:paraId="485C7BBE" w14:textId="190D0297" w:rsidR="00625360" w:rsidRPr="005B6D0F" w:rsidRDefault="00625360" w:rsidP="00846BED">
      <w:pPr>
        <w:ind w:right="-766"/>
        <w:rPr>
          <w:snapToGrid w:val="0"/>
        </w:rPr>
      </w:pPr>
      <w:r w:rsidRPr="005B6D0F">
        <w:rPr>
          <w:b/>
          <w:bCs/>
        </w:rPr>
        <w:t>VSIA „Paula Stradiņa klīniskā universitātes slimnīca”</w:t>
      </w:r>
      <w:r w:rsidRPr="005B6D0F">
        <w:rPr>
          <w:snapToGrid w:val="0"/>
        </w:rPr>
        <w:t xml:space="preserve">, </w:t>
      </w:r>
      <w:r w:rsidRPr="00625360">
        <w:rPr>
          <w:snapToGrid w:val="0"/>
        </w:rPr>
        <w:t>reģ.Nr.40003457109, kuru, saskaņā ar statūtiem pārstāv valdes priekšsēdētāja Ilze Kreicberga</w:t>
      </w:r>
      <w:r w:rsidR="003B7F34">
        <w:rPr>
          <w:snapToGrid w:val="0"/>
        </w:rPr>
        <w:t xml:space="preserve"> un valdes locekle Elita Buša</w:t>
      </w:r>
      <w:r>
        <w:rPr>
          <w:snapToGrid w:val="0"/>
        </w:rPr>
        <w:t xml:space="preserve"> </w:t>
      </w:r>
      <w:r w:rsidRPr="00625360">
        <w:rPr>
          <w:snapToGrid w:val="0"/>
        </w:rPr>
        <w:t>(turpmāk - Pasūtītājs) no vienas puses, un</w:t>
      </w:r>
    </w:p>
    <w:p w14:paraId="1F0410A0" w14:textId="77777777" w:rsidR="00625360" w:rsidRPr="005B6D0F" w:rsidRDefault="00625360" w:rsidP="00846BED">
      <w:pPr>
        <w:ind w:right="-766"/>
      </w:pPr>
      <w:r w:rsidRPr="005B6D0F">
        <w:rPr>
          <w:b/>
          <w:bCs/>
        </w:rPr>
        <w:t>SIA “</w:t>
      </w:r>
      <w:r>
        <w:rPr>
          <w:b/>
          <w:bCs/>
        </w:rPr>
        <w:t>Datakom</w:t>
      </w:r>
      <w:r w:rsidRPr="005B6D0F">
        <w:rPr>
          <w:b/>
          <w:bCs/>
        </w:rPr>
        <w:t>”</w:t>
      </w:r>
      <w:r w:rsidRPr="005B6D0F">
        <w:t xml:space="preserve">, reģistrācijas Nr. </w:t>
      </w:r>
      <w:r w:rsidRPr="00625360">
        <w:t>40103142605</w:t>
      </w:r>
      <w:r w:rsidRPr="005B6D0F">
        <w:t>, juridiskā adrese:</w:t>
      </w:r>
      <w:r w:rsidRPr="005B6D0F">
        <w:rPr>
          <w:rFonts w:ascii="Helvetica" w:hAnsi="Helvetica"/>
          <w:color w:val="444444"/>
          <w:sz w:val="20"/>
          <w:szCs w:val="20"/>
        </w:rPr>
        <w:t xml:space="preserve"> </w:t>
      </w:r>
      <w:r>
        <w:t>Vienības gatve 109, Rīga</w:t>
      </w:r>
      <w:r w:rsidRPr="005B6D0F">
        <w:t>,</w:t>
      </w:r>
      <w:r>
        <w:t xml:space="preserve"> LV-1058</w:t>
      </w:r>
      <w:r w:rsidRPr="005B6D0F">
        <w:t xml:space="preserve"> tās </w:t>
      </w:r>
      <w:r>
        <w:t>valdes priekšsēdētāja Ulda Semeika</w:t>
      </w:r>
      <w:r w:rsidRPr="005B6D0F">
        <w:t xml:space="preserve"> personā, kurš rīkojas uz </w:t>
      </w:r>
      <w:r>
        <w:t>statūtu</w:t>
      </w:r>
      <w:r w:rsidRPr="005B6D0F">
        <w:t xml:space="preserve"> pamata (turpmāk - Piegādātājs) no otras puses (abi kopā – Puses), pamatojoties uz atklāta konkursa „</w:t>
      </w:r>
      <w:r>
        <w:rPr>
          <w:lang w:eastAsia="lv-LV"/>
        </w:rPr>
        <w:t>Microsoft licenču īre</w:t>
      </w:r>
      <w:r>
        <w:t>” (ID Nr. PSKUS 2017</w:t>
      </w:r>
      <w:r w:rsidRPr="005B6D0F">
        <w:t>/</w:t>
      </w:r>
      <w:r>
        <w:t>49</w:t>
      </w:r>
      <w:r w:rsidRPr="005B6D0F">
        <w:t xml:space="preserve">), rezultātiem un, saskaņā ar </w:t>
      </w:r>
      <w:r>
        <w:t>Piegādātāja</w:t>
      </w:r>
      <w:r w:rsidRPr="005B6D0F">
        <w:t xml:space="preserve"> atklātā konkursā iesniegto piedāvājumu, noslēdz šādu līgumu (turpmāk – Līgums):</w:t>
      </w:r>
    </w:p>
    <w:p w14:paraId="79FE937A" w14:textId="77777777" w:rsidR="00625360" w:rsidRPr="005B6D0F" w:rsidRDefault="00625360" w:rsidP="00846BED">
      <w:pPr>
        <w:numPr>
          <w:ilvl w:val="0"/>
          <w:numId w:val="1"/>
        </w:numPr>
        <w:spacing w:before="120" w:after="120" w:line="276" w:lineRule="auto"/>
        <w:ind w:right="-766"/>
        <w:jc w:val="center"/>
        <w:rPr>
          <w:b/>
          <w:bCs/>
        </w:rPr>
      </w:pPr>
      <w:r w:rsidRPr="005B6D0F">
        <w:rPr>
          <w:b/>
          <w:bCs/>
        </w:rPr>
        <w:t>Līguma priekšmets</w:t>
      </w:r>
      <w:r>
        <w:rPr>
          <w:b/>
          <w:bCs/>
        </w:rPr>
        <w:t xml:space="preserve"> un termiņš</w:t>
      </w:r>
    </w:p>
    <w:p w14:paraId="366CA8DB" w14:textId="77777777" w:rsidR="00625360" w:rsidRPr="005B6D0F" w:rsidRDefault="00625360" w:rsidP="00846BED">
      <w:pPr>
        <w:numPr>
          <w:ilvl w:val="1"/>
          <w:numId w:val="1"/>
        </w:numPr>
        <w:ind w:left="561" w:right="-766" w:hanging="561"/>
        <w:rPr>
          <w:rFonts w:eastAsia="Calibri"/>
        </w:rPr>
      </w:pPr>
      <w:r>
        <w:rPr>
          <w:rFonts w:eastAsia="Calibri"/>
        </w:rPr>
        <w:t xml:space="preserve">Puses vienojas, ka Piegādātājs </w:t>
      </w:r>
      <w:r w:rsidRPr="0046616A">
        <w:rPr>
          <w:szCs w:val="20"/>
          <w:lang w:eastAsia="lv-LV"/>
        </w:rPr>
        <w:t xml:space="preserve">piegādā un nodod </w:t>
      </w:r>
      <w:r>
        <w:rPr>
          <w:szCs w:val="20"/>
          <w:lang w:eastAsia="lv-LV"/>
        </w:rPr>
        <w:t>nomā</w:t>
      </w:r>
      <w:r w:rsidRPr="0046616A">
        <w:rPr>
          <w:szCs w:val="20"/>
          <w:lang w:eastAsia="lv-LV"/>
        </w:rPr>
        <w:t xml:space="preserve">, bet Pasūtītājs </w:t>
      </w:r>
      <w:r w:rsidRPr="006C00F8">
        <w:rPr>
          <w:szCs w:val="20"/>
          <w:lang w:eastAsia="lv-LV"/>
        </w:rPr>
        <w:t>nomā</w:t>
      </w:r>
      <w:r w:rsidRPr="0046616A">
        <w:rPr>
          <w:szCs w:val="20"/>
          <w:lang w:eastAsia="lv-LV"/>
        </w:rPr>
        <w:t xml:space="preserve"> </w:t>
      </w:r>
      <w:r w:rsidRPr="001B02E2">
        <w:rPr>
          <w:szCs w:val="20"/>
          <w:lang w:eastAsia="lv-LV"/>
        </w:rPr>
        <w:t>licencējamu</w:t>
      </w:r>
      <w:r w:rsidRPr="0046616A">
        <w:rPr>
          <w:szCs w:val="20"/>
          <w:lang w:eastAsia="lv-LV"/>
        </w:rPr>
        <w:t xml:space="preserve"> Microsoft Corporation programmatūras produktu licences (turpmāk – Licences) </w:t>
      </w:r>
      <w:r w:rsidRPr="0046616A">
        <w:rPr>
          <w:bCs/>
          <w:szCs w:val="20"/>
          <w:lang w:eastAsia="lv-LV"/>
        </w:rPr>
        <w:t>saskaņā ar</w:t>
      </w:r>
      <w:r w:rsidRPr="0046616A">
        <w:rPr>
          <w:szCs w:val="20"/>
          <w:lang w:eastAsia="lv-LV"/>
        </w:rPr>
        <w:t xml:space="preserve"> Līguma noteikumiem un tā pielikumā (turpmāk – pielikums) norādīto aprakstu</w:t>
      </w:r>
      <w:r>
        <w:rPr>
          <w:szCs w:val="20"/>
          <w:lang w:eastAsia="lv-LV"/>
        </w:rPr>
        <w:t>.</w:t>
      </w:r>
    </w:p>
    <w:p w14:paraId="0196A504" w14:textId="77777777" w:rsidR="00625360" w:rsidRPr="005B6D0F" w:rsidRDefault="00625360" w:rsidP="00846BED">
      <w:pPr>
        <w:numPr>
          <w:ilvl w:val="1"/>
          <w:numId w:val="1"/>
        </w:numPr>
        <w:tabs>
          <w:tab w:val="num" w:pos="426"/>
        </w:tabs>
        <w:ind w:right="-766" w:hanging="562"/>
        <w:rPr>
          <w:rFonts w:eastAsia="Calibri"/>
        </w:rPr>
      </w:pPr>
      <w:r w:rsidRPr="005B6D0F">
        <w:rPr>
          <w:rFonts w:eastAsia="Calibri"/>
        </w:rPr>
        <w:t xml:space="preserve">  </w:t>
      </w:r>
      <w:r w:rsidRPr="0046616A">
        <w:rPr>
          <w:szCs w:val="20"/>
          <w:lang w:eastAsia="lv-LV"/>
        </w:rPr>
        <w:t>Licenču noma</w:t>
      </w:r>
      <w:r w:rsidRPr="0046616A">
        <w:rPr>
          <w:rFonts w:eastAsia="SimSun"/>
        </w:rPr>
        <w:t xml:space="preserve"> </w:t>
      </w:r>
      <w:r w:rsidRPr="0046616A">
        <w:rPr>
          <w:szCs w:val="20"/>
          <w:lang w:eastAsia="lv-LV"/>
        </w:rPr>
        <w:t xml:space="preserve">ir sadalīta 3 (trīs) periodos, katrs periods ir 12 (divpadsmit) mēneši. Kopējais Licenču </w:t>
      </w:r>
      <w:r>
        <w:rPr>
          <w:szCs w:val="20"/>
          <w:lang w:eastAsia="lv-LV"/>
        </w:rPr>
        <w:t>n</w:t>
      </w:r>
      <w:r w:rsidRPr="0046616A">
        <w:rPr>
          <w:szCs w:val="20"/>
          <w:lang w:eastAsia="lv-LV"/>
        </w:rPr>
        <w:t>omas periods ir 36 (trīsdesmit seši) mēneši</w:t>
      </w:r>
      <w:r w:rsidRPr="005B6D0F">
        <w:rPr>
          <w:rFonts w:eastAsia="Calibri"/>
        </w:rPr>
        <w:t xml:space="preserve">. </w:t>
      </w:r>
    </w:p>
    <w:p w14:paraId="0B453A90" w14:textId="77777777" w:rsidR="00625360" w:rsidRDefault="00625360" w:rsidP="00846BED">
      <w:pPr>
        <w:numPr>
          <w:ilvl w:val="1"/>
          <w:numId w:val="1"/>
        </w:numPr>
        <w:ind w:right="-766" w:hanging="562"/>
        <w:rPr>
          <w:rFonts w:eastAsia="Calibri"/>
        </w:rPr>
      </w:pPr>
      <w:r w:rsidRPr="005B6D0F">
        <w:rPr>
          <w:rFonts w:eastAsia="Calibri"/>
        </w:rPr>
        <w:t xml:space="preserve"> </w:t>
      </w:r>
      <w:r w:rsidRPr="0046616A">
        <w:rPr>
          <w:szCs w:val="20"/>
          <w:lang w:eastAsia="lv-LV"/>
        </w:rPr>
        <w:t xml:space="preserve">Katras atsevišķas Licences vienības nomas maksa vienam nomas periodam, kas ir 12 (divpadsmit) mēneši, ir noteikta </w:t>
      </w:r>
      <w:r>
        <w:rPr>
          <w:szCs w:val="20"/>
          <w:lang w:eastAsia="lv-LV"/>
        </w:rPr>
        <w:t>1.</w:t>
      </w:r>
      <w:r w:rsidRPr="0046616A">
        <w:rPr>
          <w:szCs w:val="20"/>
          <w:lang w:eastAsia="lv-LV"/>
        </w:rPr>
        <w:t>pielikumā</w:t>
      </w:r>
      <w:r w:rsidRPr="005B6D0F">
        <w:rPr>
          <w:rFonts w:eastAsia="Calibri"/>
        </w:rPr>
        <w:t>.</w:t>
      </w:r>
    </w:p>
    <w:p w14:paraId="79E44AF3" w14:textId="77777777" w:rsidR="00625360" w:rsidRPr="006075CD" w:rsidRDefault="00625360" w:rsidP="00846BED">
      <w:pPr>
        <w:numPr>
          <w:ilvl w:val="1"/>
          <w:numId w:val="1"/>
        </w:numPr>
        <w:ind w:right="-766" w:hanging="562"/>
        <w:rPr>
          <w:rFonts w:eastAsia="Calibri"/>
        </w:rPr>
      </w:pPr>
      <w:r w:rsidRPr="0046616A">
        <w:rPr>
          <w:szCs w:val="20"/>
          <w:lang w:eastAsia="lv-LV"/>
        </w:rPr>
        <w:t>Visā Līguma darbības laikā Piegādātājs nodrošina pielikumā norādīto speciālistu pakalpojumu sniegšanu Pasūtītājam</w:t>
      </w:r>
      <w:r>
        <w:rPr>
          <w:szCs w:val="20"/>
          <w:lang w:eastAsia="lv-LV"/>
        </w:rPr>
        <w:t>.</w:t>
      </w:r>
    </w:p>
    <w:p w14:paraId="461C512A" w14:textId="77777777" w:rsidR="00625360" w:rsidRPr="006075CD" w:rsidRDefault="00625360" w:rsidP="00846BED">
      <w:pPr>
        <w:numPr>
          <w:ilvl w:val="1"/>
          <w:numId w:val="1"/>
        </w:numPr>
        <w:ind w:right="-766" w:hanging="562"/>
        <w:rPr>
          <w:rFonts w:eastAsia="Calibri"/>
        </w:rPr>
      </w:pPr>
      <w:r w:rsidRPr="006075CD">
        <w:rPr>
          <w:szCs w:val="20"/>
          <w:lang w:eastAsia="lv-LV"/>
        </w:rPr>
        <w:t>Līgums stājas spēkā no tā abpusējas parakstīšanas dienas un ir spēkā līdz Līgumā minēto saistību pilnīgai izpildei</w:t>
      </w:r>
      <w:r>
        <w:rPr>
          <w:szCs w:val="20"/>
          <w:lang w:eastAsia="lv-LV"/>
        </w:rPr>
        <w:t>.</w:t>
      </w:r>
    </w:p>
    <w:p w14:paraId="4762844F" w14:textId="77777777" w:rsidR="00625360" w:rsidRPr="0006692A" w:rsidRDefault="00625360" w:rsidP="00846BED">
      <w:pPr>
        <w:widowControl w:val="0"/>
        <w:numPr>
          <w:ilvl w:val="1"/>
          <w:numId w:val="1"/>
        </w:numPr>
        <w:autoSpaceDE w:val="0"/>
        <w:autoSpaceDN w:val="0"/>
        <w:adjustRightInd w:val="0"/>
        <w:ind w:right="-766" w:hanging="562"/>
        <w:contextualSpacing/>
        <w:rPr>
          <w:lang w:eastAsia="lv-LV"/>
        </w:rPr>
      </w:pPr>
      <w:r w:rsidRPr="00EE11BE">
        <w:rPr>
          <w:lang w:eastAsia="lv-LV"/>
        </w:rPr>
        <w:t>Līguma darbības</w:t>
      </w:r>
      <w:r w:rsidRPr="0006692A">
        <w:rPr>
          <w:lang w:eastAsia="lv-LV"/>
        </w:rPr>
        <w:t xml:space="preserve"> laiks ir </w:t>
      </w:r>
      <w:r w:rsidRPr="00EE11BE">
        <w:rPr>
          <w:lang w:eastAsia="lv-LV"/>
        </w:rPr>
        <w:t xml:space="preserve"> </w:t>
      </w:r>
      <w:r w:rsidRPr="0006692A">
        <w:rPr>
          <w:lang w:eastAsia="lv-LV"/>
        </w:rPr>
        <w:t>līdz īsākajam no šādiem termiņiem:</w:t>
      </w:r>
    </w:p>
    <w:p w14:paraId="297AB28D" w14:textId="77777777" w:rsidR="00625360" w:rsidRPr="006075CD" w:rsidRDefault="00625360" w:rsidP="00846BED">
      <w:pPr>
        <w:widowControl w:val="0"/>
        <w:numPr>
          <w:ilvl w:val="2"/>
          <w:numId w:val="1"/>
        </w:numPr>
        <w:tabs>
          <w:tab w:val="clear" w:pos="1997"/>
          <w:tab w:val="num" w:pos="1276"/>
        </w:tabs>
        <w:autoSpaceDE w:val="0"/>
        <w:autoSpaceDN w:val="0"/>
        <w:adjustRightInd w:val="0"/>
        <w:ind w:right="-766" w:hanging="1430"/>
        <w:rPr>
          <w:color w:val="000000"/>
        </w:rPr>
      </w:pPr>
      <w:r w:rsidRPr="006075CD">
        <w:rPr>
          <w:color w:val="000000"/>
        </w:rPr>
        <w:t>līdz Līguma 3.1.apakšpunktā noteiktās summas izlietojumam;</w:t>
      </w:r>
    </w:p>
    <w:p w14:paraId="63209B9E" w14:textId="77777777" w:rsidR="00625360" w:rsidRPr="006075CD" w:rsidRDefault="00625360" w:rsidP="00846BED">
      <w:pPr>
        <w:numPr>
          <w:ilvl w:val="2"/>
          <w:numId w:val="1"/>
        </w:numPr>
        <w:tabs>
          <w:tab w:val="clear" w:pos="1997"/>
          <w:tab w:val="num" w:pos="1276"/>
        </w:tabs>
        <w:ind w:right="-766" w:hanging="1430"/>
        <w:rPr>
          <w:rFonts w:eastAsia="Calibri"/>
        </w:rPr>
      </w:pPr>
      <w:r w:rsidRPr="006075CD">
        <w:rPr>
          <w:color w:val="000000"/>
        </w:rPr>
        <w:t>36 (trīsdesmit seši) mēneši no Līguma spēkā stāšanās dienas</w:t>
      </w:r>
      <w:r>
        <w:rPr>
          <w:color w:val="000000"/>
        </w:rPr>
        <w:t>.</w:t>
      </w:r>
    </w:p>
    <w:p w14:paraId="74FEF8C7" w14:textId="77777777" w:rsidR="00625360" w:rsidRPr="005B6D0F" w:rsidRDefault="00625360" w:rsidP="00846BED">
      <w:pPr>
        <w:tabs>
          <w:tab w:val="num" w:pos="720"/>
        </w:tabs>
        <w:ind w:left="1997" w:right="-766"/>
        <w:rPr>
          <w:rFonts w:eastAsia="Calibri"/>
        </w:rPr>
      </w:pPr>
    </w:p>
    <w:p w14:paraId="749AD836" w14:textId="77777777" w:rsidR="00625360" w:rsidRDefault="00625360" w:rsidP="00846BED">
      <w:pPr>
        <w:numPr>
          <w:ilvl w:val="0"/>
          <w:numId w:val="1"/>
        </w:numPr>
        <w:spacing w:line="276" w:lineRule="auto"/>
        <w:ind w:right="-766"/>
        <w:jc w:val="center"/>
        <w:rPr>
          <w:b/>
          <w:bCs/>
        </w:rPr>
      </w:pPr>
      <w:r>
        <w:rPr>
          <w:b/>
          <w:bCs/>
        </w:rPr>
        <w:t>Licenču piegādes kārtība</w:t>
      </w:r>
    </w:p>
    <w:p w14:paraId="73657B70" w14:textId="77777777" w:rsidR="00625360" w:rsidRPr="006075CD" w:rsidRDefault="00625360" w:rsidP="00846BED">
      <w:pPr>
        <w:numPr>
          <w:ilvl w:val="1"/>
          <w:numId w:val="1"/>
        </w:numPr>
        <w:ind w:right="-766" w:hanging="562"/>
        <w:rPr>
          <w:b/>
          <w:bCs/>
        </w:rPr>
      </w:pPr>
      <w:r w:rsidRPr="006075CD">
        <w:t>Licences Pasūtītājam tiek piegādātas saskaņā ar pielikumā noteikto un nosūtītas elektroniskās vēstules veidā ik gadu par nomas periodu uz 12 mēnešiem, nodrošinot, ka informācija par Licencēm tiek pievienota Licenču ražotāja mājaslapā izveidotajā Pasūtītāja kontā, ko apliecina Pasūtītājam nosūtīts Licenču ražotāja elektronisks apliecinājums par programmatūras licenču reģistrēšanu</w:t>
      </w:r>
      <w:r>
        <w:t>.</w:t>
      </w:r>
    </w:p>
    <w:p w14:paraId="173D6037" w14:textId="77777777" w:rsidR="00625360" w:rsidRPr="006075CD" w:rsidRDefault="00625360" w:rsidP="00846BED">
      <w:pPr>
        <w:numPr>
          <w:ilvl w:val="1"/>
          <w:numId w:val="1"/>
        </w:numPr>
        <w:ind w:right="-766" w:hanging="562"/>
        <w:rPr>
          <w:b/>
          <w:bCs/>
        </w:rPr>
      </w:pPr>
      <w:r w:rsidRPr="006075CD">
        <w:t>Piegādātājs pēc Licenču nosūtīšanas Līgumā noteiktā kārtībā sagatavo rēķinu par tekošo Licenču nomas periodu un 15 (piecpadsmit) dienu laikā iesniedz to Pasūtītājam</w:t>
      </w:r>
      <w:r>
        <w:t>.</w:t>
      </w:r>
    </w:p>
    <w:p w14:paraId="28A0E072" w14:textId="77777777" w:rsidR="00625360" w:rsidRPr="00D6284B" w:rsidRDefault="00625360" w:rsidP="00846BED">
      <w:pPr>
        <w:numPr>
          <w:ilvl w:val="1"/>
          <w:numId w:val="1"/>
        </w:numPr>
        <w:ind w:right="-766" w:hanging="562"/>
        <w:rPr>
          <w:b/>
          <w:bCs/>
        </w:rPr>
      </w:pPr>
      <w:r w:rsidRPr="00DD08B5">
        <w:rPr>
          <w:lang w:bidi="lo-LA"/>
        </w:rPr>
        <w:t xml:space="preserve">Par Licenču nodošanas dienu tiek uzskatīta diena, kurā Pasūtītājs ir izmantojis Licenču aktivizācijas atslēgu, un </w:t>
      </w:r>
      <w:r>
        <w:rPr>
          <w:lang w:bidi="lo-LA"/>
        </w:rPr>
        <w:t>Puses</w:t>
      </w:r>
      <w:r w:rsidRPr="00DD08B5">
        <w:rPr>
          <w:lang w:bidi="lo-LA"/>
        </w:rPr>
        <w:t xml:space="preserve"> abpusēji ir parakstījuši rēķinu</w:t>
      </w:r>
      <w:r>
        <w:rPr>
          <w:lang w:bidi="lo-LA"/>
        </w:rPr>
        <w:t>.</w:t>
      </w:r>
    </w:p>
    <w:p w14:paraId="3ECF2D50" w14:textId="77777777" w:rsidR="00625360" w:rsidRPr="00D6284B" w:rsidRDefault="00625360" w:rsidP="00846BED">
      <w:pPr>
        <w:numPr>
          <w:ilvl w:val="1"/>
          <w:numId w:val="1"/>
        </w:numPr>
        <w:ind w:right="-766" w:hanging="562"/>
        <w:rPr>
          <w:b/>
          <w:bCs/>
        </w:rPr>
      </w:pPr>
      <w:r w:rsidRPr="00D6284B">
        <w:rPr>
          <w:lang w:bidi="lo-LA"/>
        </w:rPr>
        <w:t>Pieņemot Licences, Pasūtītājs pēc saviem ieskatiem ir tiesīgs veikt Licenču pārbaudi, lai pārliecinātos par to atbilstību Līguma noteikumiem</w:t>
      </w:r>
      <w:r>
        <w:rPr>
          <w:lang w:bidi="lo-LA"/>
        </w:rPr>
        <w:t>.</w:t>
      </w:r>
    </w:p>
    <w:p w14:paraId="2D0A1CDF" w14:textId="77777777" w:rsidR="00625360" w:rsidRPr="00D6284B" w:rsidRDefault="00625360" w:rsidP="00846BED">
      <w:pPr>
        <w:numPr>
          <w:ilvl w:val="1"/>
          <w:numId w:val="1"/>
        </w:numPr>
        <w:ind w:right="-766" w:hanging="562"/>
        <w:rPr>
          <w:b/>
          <w:bCs/>
        </w:rPr>
      </w:pPr>
      <w:r w:rsidRPr="00D6284B">
        <w:rPr>
          <w:lang w:bidi="lo-LA"/>
        </w:rPr>
        <w:t>Pasūtītājs pēc saviem ieskatiem Licenču pieņemšanas laikā ir tiesīgs pieaicināt ekspertus vai citus speciālistus, vai veikt testus, lai pārliecinātos par Licenču atbilstību Līguma noteikumiem. Ja Pasūtītājs konstatē Licenču neatbilstību Līguma noteikumiem,</w:t>
      </w:r>
      <w:r w:rsidRPr="00D6284B">
        <w:t xml:space="preserve"> </w:t>
      </w:r>
      <w:r w:rsidRPr="00D6284B">
        <w:rPr>
          <w:lang w:bidi="lo-LA"/>
        </w:rPr>
        <w:t>Pasūtītāja pārstāvis sagatavo attiecīgu defektu aktu un nodod to Piegādātājam</w:t>
      </w:r>
      <w:r>
        <w:rPr>
          <w:lang w:bidi="lo-LA"/>
        </w:rPr>
        <w:t>.</w:t>
      </w:r>
    </w:p>
    <w:p w14:paraId="7802636F" w14:textId="77777777" w:rsidR="00625360" w:rsidRPr="00B833F4" w:rsidRDefault="00625360" w:rsidP="00846BED">
      <w:pPr>
        <w:numPr>
          <w:ilvl w:val="1"/>
          <w:numId w:val="1"/>
        </w:numPr>
        <w:ind w:right="-766" w:hanging="562"/>
        <w:rPr>
          <w:b/>
          <w:bCs/>
        </w:rPr>
      </w:pPr>
      <w:r w:rsidRPr="00D6284B">
        <w:rPr>
          <w:lang w:bidi="lo-LA"/>
        </w:rPr>
        <w:t>Piegādātājs nomaina nekvalitatīvās vai Līguma noteikumiem neatbilstošās Licences pret kvalitatīvu un atbilstošu Līguma noteikumiem 10 (desmit) darba dienu laikā pēc attiecīga defektu akta saņemšanas</w:t>
      </w:r>
      <w:r>
        <w:rPr>
          <w:lang w:bidi="lo-LA"/>
        </w:rPr>
        <w:t>.</w:t>
      </w:r>
    </w:p>
    <w:p w14:paraId="0EADA405" w14:textId="77777777" w:rsidR="00625360" w:rsidRPr="0059235B" w:rsidRDefault="00625360" w:rsidP="00846BED">
      <w:pPr>
        <w:numPr>
          <w:ilvl w:val="1"/>
          <w:numId w:val="1"/>
        </w:numPr>
        <w:ind w:right="-766" w:hanging="562"/>
        <w:rPr>
          <w:b/>
          <w:bCs/>
        </w:rPr>
      </w:pPr>
      <w:r w:rsidRPr="00B833F4">
        <w:lastRenderedPageBreak/>
        <w:t xml:space="preserve">Jautājumu par </w:t>
      </w:r>
      <w:r w:rsidRPr="00B833F4">
        <w:rPr>
          <w:bCs/>
          <w:iCs/>
        </w:rPr>
        <w:t xml:space="preserve">defektu aktā </w:t>
      </w:r>
      <w:r w:rsidRPr="00B833F4">
        <w:t xml:space="preserve">norādītā pamatotību izlemj </w:t>
      </w:r>
      <w:r>
        <w:t>Pušu</w:t>
      </w:r>
      <w:r w:rsidRPr="00B833F4">
        <w:t xml:space="preserve"> pārstāvji defektu akta sastādīšanas brīdī. Ja pārstāvji nevar vienoties, </w:t>
      </w:r>
      <w:r>
        <w:t>Pusēm</w:t>
      </w:r>
      <w:r w:rsidRPr="00B833F4">
        <w:t xml:space="preserve"> ir tiesības pieaicināt neatkarīgu ekspertu, kura pakalpojumu apmaksā Piegādātājs, ja tiek konstatēts, ka Licences defekta rašanās iemesls nav Pasūtītāja vaina. Ja neatkarīgais eksperts konstatē, ka defekts radies Pasūtītāja vainas dēļ, neatkarīgā eksperta pakalpojumu apmaksā Pasūtītājs</w:t>
      </w:r>
      <w:r>
        <w:t>.</w:t>
      </w:r>
    </w:p>
    <w:p w14:paraId="367A0FAF" w14:textId="77777777" w:rsidR="00625360" w:rsidRPr="00B833F4" w:rsidRDefault="00625360" w:rsidP="00846BED">
      <w:pPr>
        <w:ind w:left="562" w:right="-766"/>
        <w:rPr>
          <w:b/>
          <w:bCs/>
        </w:rPr>
      </w:pPr>
    </w:p>
    <w:p w14:paraId="03B88B70" w14:textId="77777777" w:rsidR="00625360" w:rsidRPr="005B6D0F" w:rsidRDefault="00625360" w:rsidP="00846BED">
      <w:pPr>
        <w:numPr>
          <w:ilvl w:val="0"/>
          <w:numId w:val="1"/>
        </w:numPr>
        <w:spacing w:line="276" w:lineRule="auto"/>
        <w:ind w:right="-766"/>
        <w:jc w:val="center"/>
        <w:rPr>
          <w:b/>
          <w:bCs/>
        </w:rPr>
      </w:pPr>
      <w:r w:rsidRPr="005B6D0F">
        <w:rPr>
          <w:b/>
          <w:bCs/>
        </w:rPr>
        <w:t>Līguma summa, norēķinu kārtība</w:t>
      </w:r>
    </w:p>
    <w:p w14:paraId="59C9F983" w14:textId="77777777" w:rsidR="00625360" w:rsidRPr="005B6D0F" w:rsidRDefault="00625360" w:rsidP="00846BED">
      <w:pPr>
        <w:numPr>
          <w:ilvl w:val="1"/>
          <w:numId w:val="1"/>
        </w:numPr>
        <w:ind w:right="-766" w:hanging="562"/>
        <w:rPr>
          <w:rFonts w:eastAsia="Calibri"/>
        </w:rPr>
      </w:pPr>
      <w:r w:rsidRPr="005B6D0F">
        <w:rPr>
          <w:rFonts w:eastAsia="Calibri"/>
        </w:rPr>
        <w:t xml:space="preserve">Līguma kopējā summa nepārsniedz </w:t>
      </w:r>
      <w:r>
        <w:rPr>
          <w:rFonts w:eastAsia="Calibri"/>
          <w:b/>
        </w:rPr>
        <w:t>561 000,00</w:t>
      </w:r>
      <w:r w:rsidRPr="005B6D0F">
        <w:rPr>
          <w:rFonts w:eastAsia="Calibri"/>
          <w:b/>
          <w:bCs/>
        </w:rPr>
        <w:t xml:space="preserve"> EUR</w:t>
      </w:r>
      <w:r w:rsidRPr="005B6D0F">
        <w:rPr>
          <w:rFonts w:eastAsia="Calibri"/>
        </w:rPr>
        <w:t xml:space="preserve"> (</w:t>
      </w:r>
      <w:r w:rsidR="0094315B">
        <w:rPr>
          <w:rFonts w:eastAsia="Calibri"/>
        </w:rPr>
        <w:t>pieci simti sešdesmit viens tūkstotis, 00 euro</w:t>
      </w:r>
      <w:r w:rsidRPr="005B6D0F">
        <w:rPr>
          <w:rFonts w:eastAsia="Calibri"/>
        </w:rPr>
        <w:t>) bez pievienotās vērtības nodokļa (turpmāk – PVN).</w:t>
      </w:r>
      <w:r>
        <w:rPr>
          <w:rFonts w:eastAsia="Calibri"/>
        </w:rPr>
        <w:t xml:space="preserve"> Līguma kopējā summā ir ietvertas visas izmaksas, kas saistītas ar Licenču nomu.</w:t>
      </w:r>
      <w:r w:rsidRPr="005B6D0F">
        <w:rPr>
          <w:rFonts w:eastAsia="Calibri"/>
        </w:rPr>
        <w:t xml:space="preserve">  </w:t>
      </w:r>
    </w:p>
    <w:p w14:paraId="34760EC7" w14:textId="77777777" w:rsidR="00625360" w:rsidRPr="005B6D0F" w:rsidRDefault="00625360" w:rsidP="00846BED">
      <w:pPr>
        <w:numPr>
          <w:ilvl w:val="1"/>
          <w:numId w:val="1"/>
        </w:numPr>
        <w:ind w:right="-766" w:hanging="562"/>
        <w:contextualSpacing/>
        <w:rPr>
          <w:rFonts w:eastAsia="Calibri"/>
        </w:rPr>
      </w:pPr>
      <w:r w:rsidRPr="005B6D0F">
        <w:rPr>
          <w:rFonts w:eastAsia="Calibri"/>
        </w:rPr>
        <w:t xml:space="preserve">PVN tiek aprēķināts un maksāts papildus saskaņā ar spēkā esošo nodokļu likmi.   </w:t>
      </w:r>
    </w:p>
    <w:p w14:paraId="3021A942" w14:textId="77777777" w:rsidR="00625360" w:rsidRDefault="00625360" w:rsidP="00846BED">
      <w:pPr>
        <w:numPr>
          <w:ilvl w:val="1"/>
          <w:numId w:val="1"/>
        </w:numPr>
        <w:ind w:right="-766" w:hanging="562"/>
        <w:rPr>
          <w:rFonts w:eastAsia="Calibri"/>
        </w:rPr>
      </w:pPr>
      <w:r w:rsidRPr="0059235B">
        <w:rPr>
          <w:rFonts w:eastAsia="SimSun"/>
          <w:lang w:eastAsia="ru-RU"/>
        </w:rPr>
        <w:t>Katra Licenču nomas perioda maksimālā plānotā summa ir norādīta</w:t>
      </w:r>
      <w:r>
        <w:rPr>
          <w:rFonts w:eastAsia="SimSun"/>
          <w:lang w:eastAsia="ru-RU"/>
        </w:rPr>
        <w:t xml:space="preserve"> 1.</w:t>
      </w:r>
      <w:r w:rsidRPr="0059235B">
        <w:rPr>
          <w:rFonts w:eastAsia="SimSun"/>
          <w:lang w:eastAsia="ru-RU"/>
        </w:rPr>
        <w:t>pielikumā</w:t>
      </w:r>
      <w:r w:rsidRPr="005B6D0F">
        <w:rPr>
          <w:rFonts w:eastAsia="Calibri"/>
        </w:rPr>
        <w:t>.</w:t>
      </w:r>
    </w:p>
    <w:p w14:paraId="16670EF6" w14:textId="77777777" w:rsidR="00625360" w:rsidRPr="00525FE2" w:rsidRDefault="00625360" w:rsidP="00846BED">
      <w:pPr>
        <w:numPr>
          <w:ilvl w:val="1"/>
          <w:numId w:val="1"/>
        </w:numPr>
        <w:ind w:right="-766" w:hanging="562"/>
        <w:rPr>
          <w:rFonts w:eastAsia="Calibri"/>
        </w:rPr>
      </w:pPr>
      <w:r w:rsidRPr="00525FE2">
        <w:rPr>
          <w:rFonts w:eastAsia="SimSun"/>
          <w:spacing w:val="5"/>
        </w:rPr>
        <w:t>Piegādātājs iesniedz Pasūtītājam rēķinu par katru Licenču nomas periodu šādā kārtībā</w:t>
      </w:r>
      <w:r>
        <w:rPr>
          <w:rFonts w:eastAsia="SimSun"/>
          <w:spacing w:val="5"/>
        </w:rPr>
        <w:t>:</w:t>
      </w:r>
    </w:p>
    <w:p w14:paraId="0AB5BFDF" w14:textId="77777777" w:rsidR="00625360" w:rsidRDefault="00625360" w:rsidP="00846BED">
      <w:pPr>
        <w:numPr>
          <w:ilvl w:val="2"/>
          <w:numId w:val="1"/>
        </w:numPr>
        <w:tabs>
          <w:tab w:val="clear" w:pos="1997"/>
          <w:tab w:val="num" w:pos="1276"/>
        </w:tabs>
        <w:ind w:left="1276" w:right="-766" w:hanging="709"/>
        <w:rPr>
          <w:rFonts w:eastAsia="SimSun"/>
          <w:spacing w:val="5"/>
        </w:rPr>
      </w:pPr>
      <w:r>
        <w:rPr>
          <w:rFonts w:eastAsia="SimSun"/>
          <w:spacing w:val="5"/>
        </w:rPr>
        <w:t>par 1.</w:t>
      </w:r>
      <w:r w:rsidRPr="00525FE2">
        <w:rPr>
          <w:rFonts w:eastAsia="SimSun"/>
          <w:spacing w:val="5"/>
        </w:rPr>
        <w:t>nomas</w:t>
      </w:r>
      <w:r>
        <w:rPr>
          <w:rFonts w:eastAsia="SimSun"/>
          <w:spacing w:val="5"/>
        </w:rPr>
        <w:t xml:space="preserve"> periodu - </w:t>
      </w:r>
      <w:r w:rsidRPr="00525FE2">
        <w:rPr>
          <w:rFonts w:eastAsia="SimSun"/>
          <w:spacing w:val="5"/>
        </w:rPr>
        <w:t xml:space="preserve">15 (piecpadsmit) </w:t>
      </w:r>
      <w:r>
        <w:rPr>
          <w:rFonts w:eastAsia="SimSun"/>
          <w:spacing w:val="5"/>
        </w:rPr>
        <w:t xml:space="preserve">kalendāro </w:t>
      </w:r>
      <w:r w:rsidRPr="00525FE2">
        <w:rPr>
          <w:rFonts w:eastAsia="SimSun"/>
          <w:spacing w:val="5"/>
        </w:rPr>
        <w:t>dienu laikā pēc rēķina abpusējas parakstīšanas</w:t>
      </w:r>
      <w:r>
        <w:rPr>
          <w:rFonts w:eastAsia="SimSun"/>
          <w:spacing w:val="5"/>
        </w:rPr>
        <w:t>;</w:t>
      </w:r>
    </w:p>
    <w:p w14:paraId="798E92F1" w14:textId="77777777" w:rsidR="00625360" w:rsidRPr="00525FE2" w:rsidRDefault="00625360" w:rsidP="00846BED">
      <w:pPr>
        <w:numPr>
          <w:ilvl w:val="2"/>
          <w:numId w:val="1"/>
        </w:numPr>
        <w:tabs>
          <w:tab w:val="clear" w:pos="1997"/>
        </w:tabs>
        <w:ind w:left="1276" w:right="-766" w:hanging="709"/>
        <w:rPr>
          <w:rFonts w:eastAsia="Calibri"/>
        </w:rPr>
      </w:pPr>
      <w:r w:rsidRPr="00525FE2">
        <w:rPr>
          <w:rFonts w:eastAsia="SimSun"/>
          <w:spacing w:val="5"/>
        </w:rPr>
        <w:t xml:space="preserve">par katru nākamo (2. un 3. nomas periodu) 15 (piecpadsmit) </w:t>
      </w:r>
      <w:r>
        <w:rPr>
          <w:rFonts w:eastAsia="SimSun"/>
          <w:spacing w:val="5"/>
        </w:rPr>
        <w:t xml:space="preserve">kalendāro </w:t>
      </w:r>
      <w:r w:rsidRPr="00525FE2">
        <w:rPr>
          <w:rFonts w:eastAsia="SimSun"/>
          <w:spacing w:val="5"/>
        </w:rPr>
        <w:t>dienu laikā pirms iepriekšējā nomas perioda beigām</w:t>
      </w:r>
      <w:r>
        <w:rPr>
          <w:rFonts w:eastAsia="SimSun"/>
          <w:spacing w:val="5"/>
        </w:rPr>
        <w:t>.</w:t>
      </w:r>
    </w:p>
    <w:p w14:paraId="6DA82BF2" w14:textId="77777777" w:rsidR="00625360" w:rsidRPr="0063654A" w:rsidRDefault="00625360" w:rsidP="00846BED">
      <w:pPr>
        <w:numPr>
          <w:ilvl w:val="1"/>
          <w:numId w:val="1"/>
        </w:numPr>
        <w:ind w:left="567" w:right="-766" w:hanging="567"/>
        <w:rPr>
          <w:rFonts w:eastAsia="Calibri"/>
        </w:rPr>
      </w:pPr>
      <w:r w:rsidRPr="0063654A">
        <w:t xml:space="preserve">Puses vienojas, ka </w:t>
      </w:r>
      <w:r>
        <w:t>Piegādātājs</w:t>
      </w:r>
      <w:r w:rsidRPr="0063654A">
        <w:t xml:space="preserve"> rēķinus </w:t>
      </w:r>
      <w:r>
        <w:t xml:space="preserve">un aktus </w:t>
      </w:r>
      <w:r w:rsidRPr="0063654A">
        <w:t xml:space="preserve">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3654A">
          <w:rPr>
            <w:color w:val="0000FF"/>
            <w:u w:val="single"/>
          </w:rPr>
          <w:t>rekini@stradini.lv</w:t>
        </w:r>
      </w:hyperlink>
    </w:p>
    <w:p w14:paraId="67AAE19E" w14:textId="77777777" w:rsidR="00625360" w:rsidRDefault="00625360" w:rsidP="00846BED">
      <w:pPr>
        <w:numPr>
          <w:ilvl w:val="1"/>
          <w:numId w:val="1"/>
        </w:numPr>
        <w:ind w:left="567" w:right="-766" w:hanging="567"/>
        <w:rPr>
          <w:rFonts w:eastAsia="Calibri"/>
        </w:rPr>
      </w:pPr>
      <w:r w:rsidRPr="00525FE2">
        <w:rPr>
          <w:rFonts w:eastAsia="SimSun"/>
          <w:spacing w:val="4"/>
        </w:rPr>
        <w:t xml:space="preserve">Samaksa tiek veikta EUR, atbilstoši </w:t>
      </w:r>
      <w:r w:rsidR="0094315B">
        <w:rPr>
          <w:rFonts w:eastAsia="SimSun"/>
          <w:spacing w:val="4"/>
        </w:rPr>
        <w:t>1</w:t>
      </w:r>
      <w:r>
        <w:rPr>
          <w:rFonts w:eastAsia="SimSun"/>
          <w:spacing w:val="4"/>
        </w:rPr>
        <w:t>.</w:t>
      </w:r>
      <w:r w:rsidRPr="00525FE2">
        <w:rPr>
          <w:rFonts w:eastAsia="SimSun"/>
          <w:spacing w:val="4"/>
        </w:rPr>
        <w:t xml:space="preserve">pielikumā </w:t>
      </w:r>
      <w:r w:rsidRPr="00525FE2">
        <w:rPr>
          <w:rFonts w:eastAsia="SimSun"/>
          <w:spacing w:val="-3"/>
        </w:rPr>
        <w:t>noteiktajām cenām, saskaņā ar Piegādātāja</w:t>
      </w:r>
      <w:r w:rsidRPr="00525FE2">
        <w:rPr>
          <w:rFonts w:eastAsia="SimSun"/>
          <w:spacing w:val="-2"/>
        </w:rPr>
        <w:t xml:space="preserve"> iesniegto rēķinu, Pasūtītājam veicot bezskaidras naudas pārskaitījumu uz Piegādātāja rēķinā norādīto bankas kontu 60 (sešdesmit) kalendāro </w:t>
      </w:r>
      <w:r w:rsidRPr="00525FE2">
        <w:rPr>
          <w:rFonts w:eastAsia="SimSun"/>
          <w:spacing w:val="5"/>
        </w:rPr>
        <w:t>dienu laikā pēc Līgumā noteiktajā kārtībā veiktas abpusējas rēķina parakstīšanas</w:t>
      </w:r>
      <w:r>
        <w:rPr>
          <w:rFonts w:eastAsia="SimSun"/>
          <w:spacing w:val="5"/>
        </w:rPr>
        <w:t>.</w:t>
      </w:r>
    </w:p>
    <w:p w14:paraId="219E4A3C" w14:textId="77777777" w:rsidR="00625360" w:rsidRPr="00525FE2" w:rsidRDefault="00625360" w:rsidP="00846BED">
      <w:pPr>
        <w:numPr>
          <w:ilvl w:val="1"/>
          <w:numId w:val="1"/>
        </w:numPr>
        <w:ind w:left="567" w:right="-766" w:hanging="567"/>
        <w:rPr>
          <w:rFonts w:eastAsia="Calibri"/>
        </w:rPr>
      </w:pPr>
      <w:r w:rsidRPr="005B6D0F">
        <w:rPr>
          <w:rFonts w:eastAsia="Calibri"/>
        </w:rPr>
        <w:t xml:space="preserve">Pasūtītājam nav pienākums apmaksāt </w:t>
      </w:r>
      <w:r>
        <w:rPr>
          <w:rFonts w:eastAsia="Calibri"/>
        </w:rPr>
        <w:t>Piegādātāja</w:t>
      </w:r>
      <w:r w:rsidRPr="005B6D0F">
        <w:rPr>
          <w:rFonts w:eastAsia="Calibri"/>
        </w:rPr>
        <w:t xml:space="preserve"> rēķinus vai segt jebkādas </w:t>
      </w:r>
      <w:r>
        <w:rPr>
          <w:rFonts w:eastAsia="Calibri"/>
        </w:rPr>
        <w:t>Piegādātāja</w:t>
      </w:r>
      <w:r w:rsidRPr="005B6D0F">
        <w:rPr>
          <w:rFonts w:eastAsia="Calibri"/>
        </w:rPr>
        <w:t xml:space="preserve"> izmaksas vai zaudējumus, kuru Piegādātājs nav veicis un/vai par Līguma prasībām neatbilstošas kvalitātes </w:t>
      </w:r>
      <w:r>
        <w:rPr>
          <w:rFonts w:eastAsia="Calibri"/>
        </w:rPr>
        <w:t>Licenču</w:t>
      </w:r>
      <w:r w:rsidRPr="005B6D0F">
        <w:rPr>
          <w:rFonts w:eastAsia="Calibri"/>
        </w:rPr>
        <w:t xml:space="preserve"> piegādi.</w:t>
      </w:r>
    </w:p>
    <w:p w14:paraId="50929F7C" w14:textId="77777777" w:rsidR="00625360" w:rsidRPr="005B6D0F" w:rsidRDefault="00625360" w:rsidP="00846BED">
      <w:pPr>
        <w:numPr>
          <w:ilvl w:val="1"/>
          <w:numId w:val="1"/>
        </w:numPr>
        <w:ind w:right="-766" w:hanging="562"/>
        <w:rPr>
          <w:rFonts w:eastAsia="Calibri"/>
        </w:rPr>
      </w:pPr>
      <w:r w:rsidRPr="005B6D0F">
        <w:rPr>
          <w:rFonts w:eastAsia="Calibri"/>
        </w:rPr>
        <w:t>Samaksa par piegādāto Preci uzskatāma par veiktu ar brīdi, kad Pasūtītājs veicis pārskaitījumu uz Piegādātāja norādīto norēķinu kontu.</w:t>
      </w:r>
    </w:p>
    <w:p w14:paraId="23FD4106" w14:textId="77777777" w:rsidR="00625360" w:rsidRPr="005B6D0F" w:rsidRDefault="00625360" w:rsidP="00846BED">
      <w:pPr>
        <w:ind w:left="562" w:right="-766"/>
        <w:rPr>
          <w:rFonts w:eastAsia="Calibri"/>
        </w:rPr>
      </w:pPr>
    </w:p>
    <w:p w14:paraId="45B44903" w14:textId="77777777" w:rsidR="00625360" w:rsidRPr="00EE11BE" w:rsidRDefault="00625360" w:rsidP="00846BED">
      <w:pPr>
        <w:widowControl w:val="0"/>
        <w:numPr>
          <w:ilvl w:val="0"/>
          <w:numId w:val="1"/>
        </w:numPr>
        <w:autoSpaceDE w:val="0"/>
        <w:autoSpaceDN w:val="0"/>
        <w:adjustRightInd w:val="0"/>
        <w:ind w:right="-766"/>
        <w:jc w:val="center"/>
        <w:rPr>
          <w:b/>
          <w:lang w:eastAsia="lv-LV"/>
        </w:rPr>
      </w:pPr>
      <w:r>
        <w:rPr>
          <w:b/>
          <w:lang w:eastAsia="lv-LV"/>
        </w:rPr>
        <w:t>Pušu</w:t>
      </w:r>
      <w:r w:rsidRPr="00EE11BE">
        <w:rPr>
          <w:b/>
          <w:lang w:eastAsia="lv-LV"/>
        </w:rPr>
        <w:t xml:space="preserve"> kontaktpersonas </w:t>
      </w:r>
    </w:p>
    <w:p w14:paraId="3061DD05" w14:textId="77777777" w:rsidR="00625360" w:rsidRDefault="00625360" w:rsidP="00846BED">
      <w:pPr>
        <w:ind w:left="720" w:right="-766"/>
        <w:rPr>
          <w:b/>
          <w:bCs/>
          <w:lang w:eastAsia="lv-LV"/>
        </w:rPr>
      </w:pPr>
    </w:p>
    <w:p w14:paraId="3568D5FE" w14:textId="77777777" w:rsidR="00625360" w:rsidRPr="00EE73E3" w:rsidRDefault="00625360" w:rsidP="00846BED">
      <w:pPr>
        <w:numPr>
          <w:ilvl w:val="1"/>
          <w:numId w:val="1"/>
        </w:numPr>
        <w:ind w:right="-766" w:hanging="562"/>
        <w:rPr>
          <w:bCs/>
          <w:lang w:eastAsia="lv-LV"/>
        </w:rPr>
      </w:pPr>
      <w:r w:rsidRPr="00EE73E3">
        <w:rPr>
          <w:bCs/>
          <w:lang w:eastAsia="lv-LV"/>
        </w:rPr>
        <w:t>Kontaktpersonas Līguma darbības laikā:</w:t>
      </w:r>
    </w:p>
    <w:p w14:paraId="4B60A342" w14:textId="615BEAC7" w:rsidR="00625360" w:rsidRDefault="00625360" w:rsidP="006E5C34">
      <w:pPr>
        <w:pStyle w:val="ListParagraph"/>
        <w:numPr>
          <w:ilvl w:val="2"/>
          <w:numId w:val="1"/>
        </w:numPr>
        <w:tabs>
          <w:tab w:val="clear" w:pos="1997"/>
          <w:tab w:val="num" w:pos="1276"/>
        </w:tabs>
        <w:ind w:left="1276" w:right="-766" w:hanging="709"/>
        <w:jc w:val="both"/>
      </w:pPr>
      <w:r w:rsidRPr="00455DEA">
        <w:rPr>
          <w:lang w:eastAsia="lv-LV"/>
        </w:rPr>
        <w:t xml:space="preserve">no Pasūtītāja puses – </w:t>
      </w:r>
      <w:r w:rsidR="0094315B" w:rsidRPr="0094315B">
        <w:rPr>
          <w:lang w:val="lv-LV" w:eastAsia="ar-SA"/>
        </w:rPr>
        <w:t xml:space="preserve">Kārlis Bētiņš, tālrunis: 67069693, </w:t>
      </w:r>
      <w:r w:rsidR="0094315B" w:rsidRPr="006E5C34">
        <w:rPr>
          <w:lang w:val="lv-LV" w:eastAsia="ar-SA"/>
        </w:rPr>
        <w:t xml:space="preserve">e-pasts: </w:t>
      </w:r>
      <w:hyperlink r:id="rId8" w:history="1">
        <w:r w:rsidR="0094315B" w:rsidRPr="006E5C34">
          <w:rPr>
            <w:lang w:val="lv-LV" w:eastAsia="ar-SA"/>
          </w:rPr>
          <w:t>karlis.betins@stradini.lv</w:t>
        </w:r>
      </w:hyperlink>
      <w:r w:rsidRPr="006E5C34">
        <w:rPr>
          <w:lang w:val="lv-LV" w:eastAsia="ar-SA"/>
        </w:rPr>
        <w:t>;</w:t>
      </w:r>
    </w:p>
    <w:p w14:paraId="5563F69D" w14:textId="77777777" w:rsidR="00625360" w:rsidRPr="00455DEA" w:rsidRDefault="00625360" w:rsidP="00846BED">
      <w:pPr>
        <w:numPr>
          <w:ilvl w:val="2"/>
          <w:numId w:val="1"/>
        </w:numPr>
        <w:tabs>
          <w:tab w:val="clear" w:pos="1997"/>
          <w:tab w:val="num" w:pos="1276"/>
        </w:tabs>
        <w:ind w:left="1276" w:right="-766" w:hanging="709"/>
        <w:rPr>
          <w:lang w:val="x-none" w:eastAsia="x-none"/>
        </w:rPr>
      </w:pPr>
      <w:r w:rsidRPr="00455DEA">
        <w:rPr>
          <w:lang w:val="x-none" w:eastAsia="x-none"/>
        </w:rPr>
        <w:t xml:space="preserve">no Piegādātāja puses – </w:t>
      </w:r>
      <w:r w:rsidR="0094315B">
        <w:rPr>
          <w:lang w:eastAsia="x-none"/>
        </w:rPr>
        <w:t>Edgars Mejers, tālrunis: 67628888, e-pasts: edgars.mejers@datakom.lv</w:t>
      </w:r>
      <w:r w:rsidRPr="00455DEA">
        <w:rPr>
          <w:lang w:val="x-none" w:eastAsia="x-none"/>
        </w:rPr>
        <w:t>.</w:t>
      </w:r>
    </w:p>
    <w:p w14:paraId="76F8C47E" w14:textId="77777777" w:rsidR="00625360" w:rsidRPr="00455DEA" w:rsidRDefault="00625360" w:rsidP="00846BED">
      <w:pPr>
        <w:pStyle w:val="ListParagraph"/>
        <w:ind w:left="1276" w:right="-766"/>
      </w:pPr>
    </w:p>
    <w:p w14:paraId="4096FF59" w14:textId="77777777" w:rsidR="00625360" w:rsidRPr="0017212C" w:rsidRDefault="00625360" w:rsidP="00846BED">
      <w:pPr>
        <w:numPr>
          <w:ilvl w:val="1"/>
          <w:numId w:val="1"/>
        </w:numPr>
        <w:ind w:right="-766" w:hanging="562"/>
        <w:rPr>
          <w:bCs/>
          <w:lang w:eastAsia="lv-LV"/>
        </w:rPr>
      </w:pPr>
      <w:r>
        <w:rPr>
          <w:lang w:eastAsia="ar-SA"/>
        </w:rPr>
        <w:t>Pušu</w:t>
      </w:r>
      <w:r w:rsidRPr="0017212C">
        <w:rPr>
          <w:lang w:eastAsia="ar-SA"/>
        </w:rPr>
        <w:t xml:space="preserve"> kontaktpersonas ir atbildīgas par Līguma izpildes uzraudzīšanu, </w:t>
      </w:r>
      <w:r w:rsidRPr="0017212C">
        <w:rPr>
          <w:szCs w:val="20"/>
          <w:lang w:eastAsia="lv-LV"/>
        </w:rPr>
        <w:t>rēķina noformēšanu un nodošanu apmaksai</w:t>
      </w:r>
      <w:r w:rsidRPr="0017212C">
        <w:rPr>
          <w:lang w:eastAsia="ar-SA"/>
        </w:rPr>
        <w:t xml:space="preserve">. </w:t>
      </w:r>
      <w:r>
        <w:rPr>
          <w:lang w:eastAsia="ar-SA"/>
        </w:rPr>
        <w:t>Pušu</w:t>
      </w:r>
      <w:r w:rsidRPr="0017212C">
        <w:rPr>
          <w:lang w:eastAsia="ar-SA"/>
        </w:rPr>
        <w:t xml:space="preserve"> kontaktpersonu prombūtnes laikā (atvaļinājuma, komandējuma vai pārejošas darba nespējas laikā) to pienākumus pilda citi </w:t>
      </w:r>
      <w:r>
        <w:rPr>
          <w:lang w:eastAsia="ar-SA"/>
        </w:rPr>
        <w:t>Pušu</w:t>
      </w:r>
      <w:r w:rsidRPr="0017212C">
        <w:rPr>
          <w:lang w:eastAsia="ar-SA"/>
        </w:rPr>
        <w:t xml:space="preserve"> darbinieki ar atbilstošu kompetenci</w:t>
      </w:r>
      <w:r>
        <w:rPr>
          <w:lang w:eastAsia="ar-SA"/>
        </w:rPr>
        <w:t>.</w:t>
      </w:r>
    </w:p>
    <w:p w14:paraId="7BCED09F" w14:textId="77777777" w:rsidR="00625360" w:rsidRPr="00855CCA" w:rsidRDefault="00625360" w:rsidP="00846BED">
      <w:pPr>
        <w:numPr>
          <w:ilvl w:val="1"/>
          <w:numId w:val="1"/>
        </w:numPr>
        <w:ind w:right="-766" w:hanging="562"/>
        <w:rPr>
          <w:bCs/>
          <w:lang w:eastAsia="lv-LV"/>
        </w:rPr>
      </w:pPr>
      <w:r w:rsidRPr="0017212C">
        <w:rPr>
          <w:lang w:eastAsia="lv-LV"/>
        </w:rPr>
        <w:t xml:space="preserve">Visa informācija, kas saistīta ar Līguma izpildi, Pušu strīda gadījumā par oficiālu tiks uzskatīta, ja kontaktpersonas būs izmantojušas rakstveida komunikāciju (Līguma </w:t>
      </w:r>
      <w:r>
        <w:rPr>
          <w:lang w:eastAsia="lv-LV"/>
        </w:rPr>
        <w:t>4</w:t>
      </w:r>
      <w:r w:rsidRPr="0017212C">
        <w:rPr>
          <w:lang w:eastAsia="lv-LV"/>
        </w:rPr>
        <w:t xml:space="preserve">.1.apakšpunktā norādītās e-pasta adreses, kā arī </w:t>
      </w:r>
      <w:r>
        <w:rPr>
          <w:lang w:eastAsia="lv-LV"/>
        </w:rPr>
        <w:t>Pušu</w:t>
      </w:r>
      <w:r w:rsidRPr="0017212C">
        <w:rPr>
          <w:lang w:eastAsia="lv-LV"/>
        </w:rPr>
        <w:t xml:space="preserve"> kontaktpersonu prombūtnes laikā (atvaļinājuma, komandējuma vai pārejošas darba nespējas laikā) e-pasta adreses, ko izmanto to aizvietotāji</w:t>
      </w:r>
      <w:r>
        <w:rPr>
          <w:lang w:eastAsia="lv-LV"/>
        </w:rPr>
        <w:t>.</w:t>
      </w:r>
    </w:p>
    <w:p w14:paraId="4826550E" w14:textId="77777777" w:rsidR="00625360" w:rsidRDefault="00625360" w:rsidP="00846BED">
      <w:pPr>
        <w:ind w:right="-766"/>
        <w:jc w:val="center"/>
        <w:rPr>
          <w:b/>
          <w:bCs/>
          <w:lang w:eastAsia="lv-LV"/>
        </w:rPr>
      </w:pPr>
    </w:p>
    <w:p w14:paraId="0199C624" w14:textId="77777777" w:rsidR="00625360" w:rsidRDefault="00625360" w:rsidP="00846BED">
      <w:pPr>
        <w:numPr>
          <w:ilvl w:val="0"/>
          <w:numId w:val="1"/>
        </w:numPr>
        <w:ind w:right="-766"/>
        <w:jc w:val="center"/>
        <w:rPr>
          <w:b/>
          <w:bCs/>
          <w:lang w:eastAsia="lv-LV"/>
        </w:rPr>
      </w:pPr>
      <w:r>
        <w:rPr>
          <w:b/>
          <w:bCs/>
          <w:lang w:eastAsia="lv-LV"/>
        </w:rPr>
        <w:lastRenderedPageBreak/>
        <w:t>Pušu atbildība</w:t>
      </w:r>
    </w:p>
    <w:p w14:paraId="03531492" w14:textId="77777777" w:rsidR="00625360" w:rsidRPr="0017212C" w:rsidRDefault="00625360" w:rsidP="00846BED">
      <w:pPr>
        <w:numPr>
          <w:ilvl w:val="1"/>
          <w:numId w:val="1"/>
        </w:numPr>
        <w:ind w:right="-766" w:hanging="562"/>
        <w:rPr>
          <w:b/>
          <w:bCs/>
          <w:lang w:eastAsia="lv-LV"/>
        </w:rPr>
      </w:pPr>
      <w:r w:rsidRPr="005B6D0F">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r>
        <w:rPr>
          <w:rFonts w:eastAsia="Calibri"/>
        </w:rPr>
        <w:t>.</w:t>
      </w:r>
    </w:p>
    <w:p w14:paraId="2548CF14" w14:textId="77777777" w:rsidR="00625360" w:rsidRPr="0017212C" w:rsidRDefault="00625360" w:rsidP="00846BED">
      <w:pPr>
        <w:numPr>
          <w:ilvl w:val="1"/>
          <w:numId w:val="1"/>
        </w:numPr>
        <w:ind w:right="-766" w:hanging="562"/>
        <w:rPr>
          <w:b/>
          <w:bCs/>
          <w:lang w:eastAsia="lv-LV"/>
        </w:rPr>
      </w:pPr>
      <w:r w:rsidRPr="0017212C">
        <w:rPr>
          <w:rFonts w:eastAsia="SimSun"/>
          <w:spacing w:val="2"/>
          <w:lang w:eastAsia="ru-RU"/>
        </w:rPr>
        <w:t xml:space="preserve">Par Līguma saistību nepildīšanu </w:t>
      </w:r>
      <w:r>
        <w:rPr>
          <w:rFonts w:eastAsia="SimSun"/>
          <w:spacing w:val="2"/>
          <w:lang w:eastAsia="ru-RU"/>
        </w:rPr>
        <w:t xml:space="preserve">Pasūtītājs ir tiesīgs piemērot </w:t>
      </w:r>
      <w:r w:rsidRPr="0017212C">
        <w:rPr>
          <w:rFonts w:eastAsia="SimSun"/>
          <w:spacing w:val="2"/>
          <w:lang w:eastAsia="ru-RU"/>
        </w:rPr>
        <w:t>Piegādātāj</w:t>
      </w:r>
      <w:r>
        <w:rPr>
          <w:rFonts w:eastAsia="SimSun"/>
          <w:spacing w:val="2"/>
          <w:lang w:eastAsia="ru-RU"/>
        </w:rPr>
        <w:t>am</w:t>
      </w:r>
      <w:r w:rsidRPr="0017212C">
        <w:rPr>
          <w:rFonts w:eastAsia="SimSun"/>
          <w:spacing w:val="2"/>
          <w:lang w:eastAsia="ru-RU"/>
        </w:rPr>
        <w:t xml:space="preserve"> līgumsodu 0,1% (nulle komats viens procents) apmērā no Līguma attiecīgās summas vērtības par katru nokavējuma dienu, bet ne vairāk kā 10% (desmit procenti) no maksimālās Līguma summas</w:t>
      </w:r>
      <w:r>
        <w:rPr>
          <w:rFonts w:eastAsia="SimSun"/>
          <w:spacing w:val="2"/>
          <w:lang w:eastAsia="ru-RU"/>
        </w:rPr>
        <w:t>.</w:t>
      </w:r>
    </w:p>
    <w:p w14:paraId="753CED6B" w14:textId="77777777" w:rsidR="00625360" w:rsidRPr="0017212C" w:rsidRDefault="00625360" w:rsidP="00846BED">
      <w:pPr>
        <w:numPr>
          <w:ilvl w:val="1"/>
          <w:numId w:val="1"/>
        </w:numPr>
        <w:ind w:right="-766" w:hanging="562"/>
        <w:rPr>
          <w:b/>
          <w:bCs/>
          <w:lang w:eastAsia="lv-LV"/>
        </w:rPr>
      </w:pPr>
      <w:r w:rsidRPr="0017212C">
        <w:rPr>
          <w:rFonts w:eastAsia="SimSun"/>
          <w:spacing w:val="2"/>
          <w:lang w:eastAsia="ru-RU"/>
        </w:rPr>
        <w:t xml:space="preserve">Par Līgumā noteikto maksājuma termiņu nokavējumu </w:t>
      </w:r>
      <w:r>
        <w:rPr>
          <w:rFonts w:eastAsia="SimSun"/>
          <w:spacing w:val="2"/>
          <w:lang w:eastAsia="ru-RU"/>
        </w:rPr>
        <w:t xml:space="preserve">Piegādātājs ir tiesīgs piemērot </w:t>
      </w:r>
      <w:r w:rsidRPr="0017212C">
        <w:rPr>
          <w:rFonts w:eastAsia="SimSun"/>
          <w:spacing w:val="2"/>
          <w:lang w:eastAsia="ru-RU"/>
        </w:rPr>
        <w:t>Pasūtītāj</w:t>
      </w:r>
      <w:r>
        <w:rPr>
          <w:rFonts w:eastAsia="SimSun"/>
          <w:spacing w:val="2"/>
          <w:lang w:eastAsia="ru-RU"/>
        </w:rPr>
        <w:t>am</w:t>
      </w:r>
      <w:r w:rsidRPr="0017212C">
        <w:rPr>
          <w:rFonts w:eastAsia="SimSun"/>
          <w:spacing w:val="2"/>
          <w:lang w:eastAsia="ru-RU"/>
        </w:rPr>
        <w:t xml:space="preserve"> līgumsodu 0,1% (nulle komats viens procents) apmērā no termiņā nesamaksātās naudas summas par katru nokavējuma dienu, bet ne vairāk kā 10% (desmit procenti) no kavētā maksājuma summas</w:t>
      </w:r>
      <w:r>
        <w:rPr>
          <w:rFonts w:eastAsia="SimSun"/>
          <w:spacing w:val="2"/>
          <w:lang w:eastAsia="ru-RU"/>
        </w:rPr>
        <w:t>.</w:t>
      </w:r>
    </w:p>
    <w:p w14:paraId="3D6D0770" w14:textId="77777777" w:rsidR="00625360" w:rsidRPr="0017212C" w:rsidRDefault="00625360" w:rsidP="00846BED">
      <w:pPr>
        <w:numPr>
          <w:ilvl w:val="1"/>
          <w:numId w:val="1"/>
        </w:numPr>
        <w:ind w:right="-766" w:hanging="562"/>
        <w:rPr>
          <w:b/>
          <w:bCs/>
          <w:lang w:eastAsia="lv-LV"/>
        </w:rPr>
      </w:pPr>
      <w:r>
        <w:rPr>
          <w:rFonts w:eastAsia="SimSun"/>
          <w:lang w:eastAsia="ru-RU"/>
        </w:rPr>
        <w:t>Līgumsoda piemērošanas gadījumā, tā</w:t>
      </w:r>
      <w:r w:rsidRPr="0017212C">
        <w:rPr>
          <w:rFonts w:eastAsia="SimSun"/>
          <w:lang w:eastAsia="ru-RU"/>
        </w:rPr>
        <w:t xml:space="preserve"> apmaksa tiek veikta 30 (trīsdesmit) </w:t>
      </w:r>
      <w:r>
        <w:rPr>
          <w:rFonts w:eastAsia="SimSun"/>
          <w:lang w:eastAsia="ru-RU"/>
        </w:rPr>
        <w:t xml:space="preserve">kalendāro </w:t>
      </w:r>
      <w:r w:rsidRPr="0017212C">
        <w:rPr>
          <w:rFonts w:eastAsia="SimSun"/>
          <w:lang w:eastAsia="ru-RU"/>
        </w:rPr>
        <w:t>dienu laikā pēc attiecīgā</w:t>
      </w:r>
      <w:r>
        <w:rPr>
          <w:rFonts w:eastAsia="SimSun"/>
          <w:lang w:eastAsia="ru-RU"/>
        </w:rPr>
        <w:t>s</w:t>
      </w:r>
      <w:r w:rsidRPr="0017212C">
        <w:rPr>
          <w:rFonts w:eastAsia="SimSun"/>
          <w:lang w:eastAsia="ru-RU"/>
        </w:rPr>
        <w:t xml:space="preserve"> </w:t>
      </w:r>
      <w:r>
        <w:rPr>
          <w:rFonts w:eastAsia="SimSun"/>
          <w:lang w:eastAsia="ru-RU"/>
        </w:rPr>
        <w:t>Puses</w:t>
      </w:r>
      <w:r w:rsidRPr="0017212C">
        <w:rPr>
          <w:rFonts w:eastAsia="SimSun"/>
          <w:lang w:eastAsia="ru-RU"/>
        </w:rPr>
        <w:t xml:space="preserve"> rēķina par līgumsoda samaksu saņemšanas. Ja Piegādātājs</w:t>
      </w:r>
      <w:r>
        <w:rPr>
          <w:rFonts w:eastAsia="SimSun"/>
          <w:lang w:eastAsia="ru-RU"/>
        </w:rPr>
        <w:t>, līgumsoda piemērošanas gadījumā,</w:t>
      </w:r>
      <w:r w:rsidRPr="0017212C">
        <w:rPr>
          <w:rFonts w:eastAsia="SimSun"/>
          <w:lang w:eastAsia="ru-RU"/>
        </w:rPr>
        <w:t xml:space="preserve"> nav veicis </w:t>
      </w:r>
      <w:r>
        <w:rPr>
          <w:rFonts w:eastAsia="SimSun"/>
          <w:lang w:eastAsia="ru-RU"/>
        </w:rPr>
        <w:t>tā</w:t>
      </w:r>
      <w:r w:rsidRPr="0017212C">
        <w:rPr>
          <w:rFonts w:eastAsia="SimSun"/>
          <w:lang w:eastAsia="ru-RU"/>
        </w:rPr>
        <w:t xml:space="preserve"> apmaksu, Pasūtītājam ir tiesības ieturēt attiecīgu naudas summu no maksājumiem Piegādātājam</w:t>
      </w:r>
      <w:r>
        <w:rPr>
          <w:rFonts w:eastAsia="SimSun"/>
          <w:lang w:eastAsia="ru-RU"/>
        </w:rPr>
        <w:t>.</w:t>
      </w:r>
    </w:p>
    <w:p w14:paraId="1AC32297" w14:textId="77777777" w:rsidR="00625360" w:rsidRPr="0017212C" w:rsidRDefault="00625360" w:rsidP="00846BED">
      <w:pPr>
        <w:numPr>
          <w:ilvl w:val="1"/>
          <w:numId w:val="1"/>
        </w:numPr>
        <w:ind w:right="-766" w:hanging="562"/>
        <w:rPr>
          <w:b/>
          <w:bCs/>
          <w:lang w:eastAsia="lv-LV"/>
        </w:rPr>
      </w:pPr>
      <w:r w:rsidRPr="0017212C">
        <w:rPr>
          <w:rFonts w:eastAsia="SimSun"/>
          <w:spacing w:val="2"/>
          <w:lang w:eastAsia="ru-RU"/>
        </w:rPr>
        <w:t>Līgumsoda samaksa neatbrīvo Līdzējus no to saistību izpildes</w:t>
      </w:r>
      <w:r>
        <w:rPr>
          <w:rFonts w:eastAsia="SimSun"/>
          <w:spacing w:val="2"/>
          <w:lang w:eastAsia="ru-RU"/>
        </w:rPr>
        <w:t>.</w:t>
      </w:r>
    </w:p>
    <w:p w14:paraId="4B12B899" w14:textId="77777777" w:rsidR="00625360" w:rsidRDefault="00625360" w:rsidP="00846BED">
      <w:pPr>
        <w:ind w:right="-766"/>
        <w:rPr>
          <w:b/>
          <w:bCs/>
          <w:lang w:eastAsia="lv-LV"/>
        </w:rPr>
      </w:pPr>
    </w:p>
    <w:p w14:paraId="284092D6" w14:textId="77777777" w:rsidR="00625360" w:rsidRDefault="00625360" w:rsidP="00846BED">
      <w:pPr>
        <w:numPr>
          <w:ilvl w:val="0"/>
          <w:numId w:val="1"/>
        </w:numPr>
        <w:ind w:right="-766"/>
        <w:jc w:val="center"/>
        <w:rPr>
          <w:b/>
          <w:bCs/>
          <w:lang w:eastAsia="lv-LV"/>
        </w:rPr>
      </w:pPr>
      <w:r w:rsidRPr="00700B66">
        <w:rPr>
          <w:b/>
          <w:bCs/>
          <w:lang w:eastAsia="lv-LV"/>
        </w:rPr>
        <w:t>Nepārvarama</w:t>
      </w:r>
      <w:r>
        <w:rPr>
          <w:b/>
          <w:bCs/>
          <w:lang w:eastAsia="lv-LV"/>
        </w:rPr>
        <w:t>s</w:t>
      </w:r>
      <w:r w:rsidRPr="00700B66">
        <w:rPr>
          <w:b/>
          <w:bCs/>
          <w:lang w:eastAsia="lv-LV"/>
        </w:rPr>
        <w:t xml:space="preserve"> vara</w:t>
      </w:r>
      <w:r>
        <w:rPr>
          <w:b/>
          <w:bCs/>
          <w:lang w:eastAsia="lv-LV"/>
        </w:rPr>
        <w:t>s apstākļi</w:t>
      </w:r>
    </w:p>
    <w:p w14:paraId="504DD9A2" w14:textId="77777777" w:rsidR="00625360" w:rsidRPr="00700B66" w:rsidRDefault="00625360" w:rsidP="00846BED">
      <w:pPr>
        <w:ind w:left="567" w:right="-766" w:hanging="567"/>
        <w:rPr>
          <w:bCs/>
          <w:lang w:eastAsia="lv-LV"/>
        </w:rPr>
      </w:pPr>
      <w:r w:rsidRPr="00700B66">
        <w:rPr>
          <w:bCs/>
          <w:lang w:eastAsia="lv-LV"/>
        </w:rPr>
        <w:t>6.1.</w:t>
      </w:r>
      <w:r w:rsidRPr="00700B66">
        <w:rPr>
          <w:b/>
          <w:bCs/>
          <w:lang w:eastAsia="lv-LV"/>
        </w:rPr>
        <w:tab/>
      </w:r>
      <w:r w:rsidRPr="00700B66">
        <w:rPr>
          <w:b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5A2F70A" w14:textId="77777777" w:rsidR="00625360" w:rsidRPr="00700B66" w:rsidRDefault="00625360" w:rsidP="00846BED">
      <w:pPr>
        <w:ind w:left="567" w:right="-766" w:hanging="567"/>
        <w:rPr>
          <w:bCs/>
          <w:lang w:eastAsia="lv-LV"/>
        </w:rPr>
      </w:pPr>
      <w:r w:rsidRPr="00700B66">
        <w:rPr>
          <w:bCs/>
          <w:lang w:eastAsia="lv-LV"/>
        </w:rPr>
        <w:t>6.2.</w:t>
      </w:r>
      <w:r w:rsidRPr="00700B66">
        <w:rPr>
          <w:bCs/>
          <w:lang w:eastAsia="lv-LV"/>
        </w:rPr>
        <w:tab/>
        <w:t>Par nepārvaramas varas apstākli nevar tikt atzīts Izpildītāja un citu iesaistīto personu saistību neizpilde vai nesavlaicīga izpilde.</w:t>
      </w:r>
    </w:p>
    <w:p w14:paraId="67EC16A5" w14:textId="77777777" w:rsidR="00625360" w:rsidRPr="00700B66" w:rsidRDefault="00625360" w:rsidP="00846BED">
      <w:pPr>
        <w:ind w:left="567" w:right="-766" w:hanging="567"/>
        <w:rPr>
          <w:bCs/>
          <w:lang w:eastAsia="lv-LV"/>
        </w:rPr>
      </w:pPr>
      <w:r w:rsidRPr="00700B66">
        <w:rPr>
          <w:bCs/>
          <w:lang w:eastAsia="lv-LV"/>
        </w:rPr>
        <w:t>6.3.</w:t>
      </w:r>
      <w:r w:rsidRPr="00700B66">
        <w:rPr>
          <w:bCs/>
          <w:lang w:eastAsia="lv-LV"/>
        </w:rPr>
        <w:ta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72D93E0" w14:textId="77777777" w:rsidR="00625360" w:rsidRPr="00700B66" w:rsidRDefault="00625360" w:rsidP="00846BED">
      <w:pPr>
        <w:ind w:left="567" w:right="-766" w:hanging="567"/>
        <w:rPr>
          <w:bCs/>
          <w:lang w:eastAsia="lv-LV"/>
        </w:rPr>
      </w:pPr>
      <w:r w:rsidRPr="00700B66">
        <w:rPr>
          <w:bCs/>
          <w:lang w:eastAsia="lv-LV"/>
        </w:rPr>
        <w:t>6.4.</w:t>
      </w:r>
      <w:r w:rsidRPr="00700B66">
        <w:rPr>
          <w:bCs/>
          <w:lang w:eastAsia="lv-LV"/>
        </w:rPr>
        <w:tab/>
        <w:t>Ar rakstisku vienošanos Puses apliecina, vai nepārvaramas varas apstākļi traucē vai padara Līguma saistību izpildi par neiespējamu, kā arī izlemj līgumsaistību turpināšanas (vai izbeigšanas) būtiskos jaut</w:t>
      </w:r>
      <w:r>
        <w:rPr>
          <w:bCs/>
          <w:lang w:eastAsia="lv-LV"/>
        </w:rPr>
        <w:t>ājumus, un vienošanos pievieno L</w:t>
      </w:r>
      <w:r w:rsidRPr="00700B66">
        <w:rPr>
          <w:bCs/>
          <w:lang w:eastAsia="lv-LV"/>
        </w:rPr>
        <w:t>īgumam. Līgumsaistību turpināšanas gadījumā, Puses apņemas līgumsaistību termiņu pagarināt atbilstoši tam laika posmam, kas būs vienāds ar iepriekš minēto apstākļu izraisīto kavēšanos.</w:t>
      </w:r>
    </w:p>
    <w:p w14:paraId="5A8EF3B5" w14:textId="77777777" w:rsidR="00625360" w:rsidRPr="00700B66" w:rsidRDefault="00625360" w:rsidP="00846BED">
      <w:pPr>
        <w:ind w:left="567" w:right="-766" w:hanging="567"/>
        <w:rPr>
          <w:bCs/>
          <w:lang w:eastAsia="lv-LV"/>
        </w:rPr>
      </w:pPr>
      <w:r w:rsidRPr="00700B66">
        <w:rPr>
          <w:bCs/>
          <w:lang w:eastAsia="lv-LV"/>
        </w:rPr>
        <w:t>6.5.</w:t>
      </w:r>
      <w:r w:rsidRPr="00700B66">
        <w:rPr>
          <w:bCs/>
          <w:lang w:eastAsia="lv-LV"/>
        </w:rPr>
        <w:tab/>
        <w:t>Ja nepārvaramas varas apstākļu dēļ saistības nav iespējams izpildīt ilgāk par 30 kalendārajām dienām, tad Pusēm ir tiesības atteikties no Līguma izpildes. Līguma izbeigšanas gadījumā katrai Pusei ir jāatdod otrai tas, ko tā izpildījusi vai par izpildīto jāatlīdzina.</w:t>
      </w:r>
      <w:r>
        <w:rPr>
          <w:bCs/>
          <w:lang w:eastAsia="lv-LV"/>
        </w:rPr>
        <w:t xml:space="preserve"> </w:t>
      </w:r>
      <w:r w:rsidRPr="00700B66">
        <w:rPr>
          <w:bCs/>
          <w:lang w:eastAsia="lv-LV"/>
        </w:rPr>
        <w:t>Par zaudējumiem, kas radušies nepārvaramas varas apstākļu dēļ, neviena no Pusēm atbildību nenes, ja Puse ir in</w:t>
      </w:r>
      <w:r>
        <w:rPr>
          <w:bCs/>
          <w:lang w:eastAsia="lv-LV"/>
        </w:rPr>
        <w:t>formējusi otru Pusi atbilstoši L</w:t>
      </w:r>
      <w:r w:rsidRPr="00700B66">
        <w:rPr>
          <w:bCs/>
          <w:lang w:eastAsia="lv-LV"/>
        </w:rPr>
        <w:t>īguma 6.3.punktam.</w:t>
      </w:r>
    </w:p>
    <w:p w14:paraId="39283FD8" w14:textId="77777777" w:rsidR="00625360" w:rsidRDefault="00625360" w:rsidP="00846BED">
      <w:pPr>
        <w:ind w:right="-766"/>
        <w:rPr>
          <w:b/>
          <w:bCs/>
          <w:lang w:eastAsia="lv-LV"/>
        </w:rPr>
      </w:pPr>
    </w:p>
    <w:p w14:paraId="58261A2F" w14:textId="77777777" w:rsidR="00625360" w:rsidRPr="00EE73E3" w:rsidRDefault="00625360" w:rsidP="00846BED">
      <w:pPr>
        <w:numPr>
          <w:ilvl w:val="0"/>
          <w:numId w:val="1"/>
        </w:numPr>
        <w:ind w:right="-766"/>
        <w:jc w:val="center"/>
        <w:rPr>
          <w:b/>
          <w:bCs/>
          <w:lang w:eastAsia="lv-LV"/>
        </w:rPr>
      </w:pPr>
      <w:r w:rsidRPr="00EE73E3">
        <w:rPr>
          <w:b/>
          <w:bCs/>
          <w:lang w:eastAsia="lv-LV"/>
        </w:rPr>
        <w:t xml:space="preserve">Līguma </w:t>
      </w:r>
      <w:r>
        <w:rPr>
          <w:b/>
          <w:bCs/>
          <w:lang w:eastAsia="lv-LV"/>
        </w:rPr>
        <w:t>grozīšanas un izbeigšanas kārtība</w:t>
      </w:r>
    </w:p>
    <w:p w14:paraId="48C75950" w14:textId="77777777" w:rsidR="00625360" w:rsidRPr="00E8524F" w:rsidRDefault="00625360" w:rsidP="00846BED">
      <w:pPr>
        <w:numPr>
          <w:ilvl w:val="1"/>
          <w:numId w:val="1"/>
        </w:numPr>
        <w:ind w:right="-766" w:hanging="562"/>
        <w:rPr>
          <w:lang w:eastAsia="lv-LV"/>
        </w:rPr>
      </w:pPr>
      <w:r w:rsidRPr="005B6D0F">
        <w:rPr>
          <w:lang w:eastAsia="lv-LV"/>
        </w:rPr>
        <w:t>Pusēm ir tiesības jebkurā brīdī izbeigt Līgumu, par to rakstiski vienojoties.</w:t>
      </w:r>
      <w:r w:rsidRPr="00536AE7">
        <w:rPr>
          <w:rFonts w:eastAsia="SimSun"/>
          <w:sz w:val="20"/>
          <w:szCs w:val="20"/>
          <w:lang w:eastAsia="ru-RU"/>
        </w:rPr>
        <w:t xml:space="preserve"> </w:t>
      </w:r>
      <w:r w:rsidRPr="00536AE7">
        <w:rPr>
          <w:rFonts w:eastAsia="SimSun"/>
          <w:lang w:eastAsia="ru-RU"/>
        </w:rPr>
        <w:t xml:space="preserve">Visi Līguma grozījumi noformējami rakstiski divos identiskos eksemplāros un pievienojami Līgumam </w:t>
      </w:r>
      <w:r w:rsidRPr="00536AE7">
        <w:rPr>
          <w:rFonts w:eastAsia="SimSun"/>
          <w:lang w:eastAsia="ru-RU"/>
        </w:rPr>
        <w:lastRenderedPageBreak/>
        <w:t>kā neatņemama sastāvdaļa. Viens vienošanās eksemplārs glabājas pie Piegādātāja</w:t>
      </w:r>
      <w:r w:rsidRPr="00536AE7">
        <w:rPr>
          <w:rFonts w:eastAsia="SimSun"/>
          <w:caps/>
          <w:lang w:eastAsia="ru-RU"/>
        </w:rPr>
        <w:t>,</w:t>
      </w:r>
      <w:r w:rsidRPr="00536AE7">
        <w:rPr>
          <w:rFonts w:eastAsia="SimSun"/>
          <w:lang w:eastAsia="ru-RU"/>
        </w:rPr>
        <w:t xml:space="preserve"> bet otrs pie Pasūtītāja</w:t>
      </w:r>
      <w:r>
        <w:rPr>
          <w:rFonts w:eastAsia="SimSun"/>
          <w:lang w:eastAsia="ru-RU"/>
        </w:rPr>
        <w:t>.</w:t>
      </w:r>
    </w:p>
    <w:p w14:paraId="22BA1C8B" w14:textId="77777777" w:rsidR="00625360" w:rsidRPr="005B6D0F" w:rsidRDefault="00625360" w:rsidP="00846BED">
      <w:pPr>
        <w:numPr>
          <w:ilvl w:val="1"/>
          <w:numId w:val="1"/>
        </w:numPr>
        <w:ind w:right="-766" w:hanging="562"/>
        <w:rPr>
          <w:lang w:eastAsia="lv-LV"/>
        </w:rPr>
      </w:pPr>
      <w:r w:rsidRPr="005B6D0F">
        <w:rPr>
          <w:rFonts w:eastAsia="Calibri"/>
        </w:rPr>
        <w:t>Puses ir tiesīgas veikt Līguma grozījumus, ja Piegādātāju aizstāj ar citu, atbilstoši komerctiesību jomas normatīvo aktu noteikumiem par komersantu reorganizāciju un uzņēmuma pāreju</w:t>
      </w:r>
      <w:r>
        <w:rPr>
          <w:rFonts w:eastAsia="Calibri"/>
        </w:rPr>
        <w:t>.</w:t>
      </w:r>
    </w:p>
    <w:p w14:paraId="58E5C91A" w14:textId="77777777" w:rsidR="00625360" w:rsidRPr="005B6D0F" w:rsidRDefault="00625360" w:rsidP="00846BED">
      <w:pPr>
        <w:numPr>
          <w:ilvl w:val="1"/>
          <w:numId w:val="1"/>
        </w:numPr>
        <w:ind w:right="-766" w:hanging="562"/>
        <w:rPr>
          <w:rFonts w:eastAsia="Calibri"/>
        </w:rPr>
      </w:pPr>
      <w:r w:rsidRPr="005B6D0F">
        <w:rPr>
          <w:rFonts w:eastAsia="Calibri"/>
        </w:rPr>
        <w:t xml:space="preserve">Pasūtītājam ir tiesības vienpusēji atkāpties no Līguma, </w:t>
      </w:r>
      <w:r>
        <w:rPr>
          <w:rFonts w:eastAsia="Calibri"/>
        </w:rPr>
        <w:t>30</w:t>
      </w:r>
      <w:r w:rsidRPr="007D11D8">
        <w:rPr>
          <w:rFonts w:eastAsia="Calibri"/>
        </w:rPr>
        <w:t xml:space="preserve"> (</w:t>
      </w:r>
      <w:r>
        <w:rPr>
          <w:rFonts w:eastAsia="Calibri"/>
        </w:rPr>
        <w:t>trīsdesmit</w:t>
      </w:r>
      <w:r w:rsidRPr="007D11D8">
        <w:rPr>
          <w:rFonts w:eastAsia="Calibri"/>
        </w:rPr>
        <w:t>) kalendārās dienas iepriekš</w:t>
      </w:r>
      <w:r w:rsidRPr="005B6D0F">
        <w:rPr>
          <w:rFonts w:eastAsia="Calibri"/>
        </w:rPr>
        <w:t xml:space="preserve"> rakstiski par to brīdinot Piegādātāju, ja:</w:t>
      </w:r>
    </w:p>
    <w:p w14:paraId="0260C4AA" w14:textId="77777777" w:rsidR="00625360" w:rsidRPr="005B6D0F" w:rsidRDefault="00625360" w:rsidP="00846BED">
      <w:pPr>
        <w:numPr>
          <w:ilvl w:val="2"/>
          <w:numId w:val="1"/>
        </w:numPr>
        <w:tabs>
          <w:tab w:val="num" w:pos="1276"/>
        </w:tabs>
        <w:ind w:left="1276" w:right="-766" w:hanging="709"/>
        <w:rPr>
          <w:rFonts w:eastAsia="Calibri"/>
        </w:rPr>
      </w:pPr>
      <w:r w:rsidRPr="007D11D8">
        <w:rPr>
          <w:rFonts w:eastAsia="SimSun"/>
          <w:lang w:eastAsia="ru-RU"/>
        </w:rPr>
        <w:t xml:space="preserve">Piegādātājs nepilda līgumsaistības ilgāk par 10 (desmit) </w:t>
      </w:r>
      <w:r>
        <w:rPr>
          <w:rFonts w:eastAsia="SimSun"/>
          <w:lang w:eastAsia="ru-RU"/>
        </w:rPr>
        <w:t xml:space="preserve">kalendārajām </w:t>
      </w:r>
      <w:r w:rsidRPr="007D11D8">
        <w:rPr>
          <w:rFonts w:eastAsia="SimSun"/>
          <w:lang w:eastAsia="ru-RU"/>
        </w:rPr>
        <w:t>dienām kā noteikts Līgumā</w:t>
      </w:r>
      <w:r w:rsidRPr="005B6D0F">
        <w:rPr>
          <w:rFonts w:eastAsia="Calibri"/>
        </w:rPr>
        <w:t xml:space="preserve">; </w:t>
      </w:r>
    </w:p>
    <w:p w14:paraId="5565558B" w14:textId="77777777" w:rsidR="00625360" w:rsidRPr="005B6D0F" w:rsidRDefault="00625360" w:rsidP="00846BED">
      <w:pPr>
        <w:numPr>
          <w:ilvl w:val="2"/>
          <w:numId w:val="1"/>
        </w:numPr>
        <w:tabs>
          <w:tab w:val="clear" w:pos="1997"/>
        </w:tabs>
        <w:ind w:left="1276" w:right="-766" w:hanging="709"/>
        <w:rPr>
          <w:rFonts w:eastAsia="Calibri"/>
        </w:rPr>
      </w:pPr>
      <w:r w:rsidRPr="005B6D0F">
        <w:rPr>
          <w:rFonts w:eastAsia="Calibri"/>
        </w:rPr>
        <w:t xml:space="preserve">Piegādātājs Līguma noslēgšanas vai Līguma izpildes laikā sniedzis nepatiesas vai nepilnīgas ziņas vai apliecinājumus; </w:t>
      </w:r>
    </w:p>
    <w:p w14:paraId="2B8FA0A6" w14:textId="77777777" w:rsidR="00625360" w:rsidRPr="005B6D0F" w:rsidRDefault="00625360" w:rsidP="00846BED">
      <w:pPr>
        <w:numPr>
          <w:ilvl w:val="2"/>
          <w:numId w:val="1"/>
        </w:numPr>
        <w:tabs>
          <w:tab w:val="num" w:pos="1276"/>
        </w:tabs>
        <w:ind w:left="1276" w:right="-766" w:hanging="709"/>
        <w:rPr>
          <w:rFonts w:eastAsia="Calibri"/>
        </w:rPr>
      </w:pPr>
      <w:r w:rsidRPr="005B6D0F">
        <w:rPr>
          <w:rFonts w:eastAsia="Calibri"/>
        </w:rPr>
        <w:t>iestājušies apstākļi, kas apgrūtina vai padara neiespējamu Piegādātāja šajā Līgumā noteikto saistību izpildi;</w:t>
      </w:r>
    </w:p>
    <w:p w14:paraId="4012C10B" w14:textId="77777777" w:rsidR="00625360" w:rsidRPr="005B6D0F" w:rsidRDefault="00625360" w:rsidP="00846BED">
      <w:pPr>
        <w:numPr>
          <w:ilvl w:val="2"/>
          <w:numId w:val="1"/>
        </w:numPr>
        <w:tabs>
          <w:tab w:val="num" w:pos="1276"/>
        </w:tabs>
        <w:ind w:left="1276" w:right="-766" w:hanging="709"/>
        <w:rPr>
          <w:rFonts w:eastAsia="Calibri"/>
        </w:rPr>
      </w:pPr>
      <w:r w:rsidRPr="005B6D0F">
        <w:rPr>
          <w:rFonts w:eastAsia="Calibri"/>
        </w:rPr>
        <w:t xml:space="preserve">notikusi Piegādātāja </w:t>
      </w:r>
      <w:r>
        <w:rPr>
          <w:rFonts w:eastAsia="Calibri"/>
        </w:rPr>
        <w:t xml:space="preserve">labprātīga vai piespiedu </w:t>
      </w:r>
      <w:r w:rsidRPr="005B6D0F">
        <w:rPr>
          <w:rFonts w:eastAsia="Calibri"/>
        </w:rPr>
        <w:t xml:space="preserve">likvidācija; </w:t>
      </w:r>
    </w:p>
    <w:p w14:paraId="2A849A70" w14:textId="77777777" w:rsidR="00625360" w:rsidRPr="005B6D0F" w:rsidRDefault="00625360" w:rsidP="00846BED">
      <w:pPr>
        <w:numPr>
          <w:ilvl w:val="2"/>
          <w:numId w:val="1"/>
        </w:numPr>
        <w:tabs>
          <w:tab w:val="num" w:pos="1276"/>
        </w:tabs>
        <w:ind w:left="1276" w:right="-766" w:hanging="709"/>
        <w:rPr>
          <w:rFonts w:eastAsia="Calibri"/>
        </w:rPr>
      </w:pPr>
      <w:r w:rsidRPr="005B6D0F">
        <w:rPr>
          <w:rFonts w:eastAsia="Calibri"/>
        </w:rPr>
        <w:t>pret Piegādātāju u</w:t>
      </w:r>
      <w:r>
        <w:rPr>
          <w:rFonts w:eastAsia="Calibri"/>
        </w:rPr>
        <w:t>zsākta maksātnespējas procedūra.</w:t>
      </w:r>
    </w:p>
    <w:p w14:paraId="3C25938E" w14:textId="77777777" w:rsidR="00625360" w:rsidRPr="005B6D0F" w:rsidRDefault="00625360" w:rsidP="00846BED">
      <w:pPr>
        <w:numPr>
          <w:ilvl w:val="1"/>
          <w:numId w:val="1"/>
        </w:numPr>
        <w:ind w:right="-766" w:hanging="562"/>
        <w:rPr>
          <w:rFonts w:eastAsia="Calibri"/>
        </w:rPr>
      </w:pPr>
      <w:r w:rsidRPr="007D11D8">
        <w:rPr>
          <w:rFonts w:eastAsia="Calibri"/>
        </w:rPr>
        <w:t xml:space="preserve">Par vienpusēju atkāpšanos no Līguma Pasūtītājs Līguma </w:t>
      </w:r>
      <w:r>
        <w:rPr>
          <w:rFonts w:eastAsia="Calibri"/>
        </w:rPr>
        <w:t>7.2</w:t>
      </w:r>
      <w:r w:rsidRPr="007D11D8">
        <w:rPr>
          <w:rFonts w:eastAsia="Calibri"/>
        </w:rPr>
        <w:t xml:space="preserve">.punktā noteiktajā termiņā nosuta </w:t>
      </w:r>
      <w:r>
        <w:rPr>
          <w:rFonts w:eastAsia="Calibri"/>
        </w:rPr>
        <w:t>Piegādātājam</w:t>
      </w:r>
      <w:r w:rsidRPr="007D11D8">
        <w:rPr>
          <w:rFonts w:eastAsia="Calibri"/>
        </w:rPr>
        <w:t xml:space="preserve"> rakstisku paziņojumu. Līgums uzskatāms par izbeigtu </w:t>
      </w:r>
      <w:r>
        <w:rPr>
          <w:rFonts w:eastAsia="Calibri"/>
        </w:rPr>
        <w:t xml:space="preserve">trīsdesmitajā </w:t>
      </w:r>
      <w:r w:rsidRPr="007D11D8">
        <w:rPr>
          <w:rFonts w:eastAsia="Calibri"/>
        </w:rPr>
        <w:t>dienā pēc Pasūtītāja rakstiska paziņojuma nosūtīšanas</w:t>
      </w:r>
      <w:r w:rsidRPr="005B6D0F">
        <w:rPr>
          <w:rFonts w:eastAsia="Calibri"/>
        </w:rPr>
        <w:t>.</w:t>
      </w:r>
    </w:p>
    <w:p w14:paraId="089A7266" w14:textId="77777777" w:rsidR="00625360" w:rsidRPr="005B6D0F" w:rsidRDefault="00625360" w:rsidP="00846BED">
      <w:pPr>
        <w:numPr>
          <w:ilvl w:val="1"/>
          <w:numId w:val="1"/>
        </w:numPr>
        <w:ind w:right="-766" w:hanging="562"/>
        <w:rPr>
          <w:rFonts w:eastAsia="Calibri"/>
        </w:rPr>
      </w:pPr>
      <w:r w:rsidRPr="005B6D0F">
        <w:rPr>
          <w:rFonts w:eastAsia="Calibri"/>
        </w:rPr>
        <w:t xml:space="preserve">Piegādātājs ir tiesīgs vienpusēji atkāpties no Līguma, nosūtot par to rakstisku paziņojumu uz Pasūtītāja juridisko adresi </w:t>
      </w:r>
      <w:r>
        <w:rPr>
          <w:rFonts w:eastAsia="Calibri"/>
        </w:rPr>
        <w:t xml:space="preserve">30 (trīsdesmit) kalendārās dienas </w:t>
      </w:r>
      <w:r w:rsidRPr="005B6D0F">
        <w:rPr>
          <w:rFonts w:eastAsia="Calibri"/>
        </w:rPr>
        <w:t>iepriekš, ja iestājies kāds no šādiem apstākļiem:</w:t>
      </w:r>
    </w:p>
    <w:p w14:paraId="2823754B" w14:textId="77777777" w:rsidR="00625360" w:rsidRPr="005B6D0F" w:rsidRDefault="00625360" w:rsidP="00846BED">
      <w:pPr>
        <w:numPr>
          <w:ilvl w:val="2"/>
          <w:numId w:val="1"/>
        </w:numPr>
        <w:tabs>
          <w:tab w:val="num" w:pos="1276"/>
        </w:tabs>
        <w:ind w:left="1276" w:right="-766" w:hanging="709"/>
        <w:rPr>
          <w:rFonts w:eastAsia="Calibri"/>
        </w:rPr>
      </w:pPr>
      <w:r w:rsidRPr="005B6D0F">
        <w:rPr>
          <w:rFonts w:eastAsia="Calibri"/>
        </w:rPr>
        <w:t xml:space="preserve">Pasūtītājs vismaz 30 (trīsdesmit) kalendārās dienas kavē Līgumā noteikto maksājumu veikšanas termiņu un Pasūtītājs pārkāpumu nenovērš 30 (trīsdesmit) kalendāro dienu laikā no </w:t>
      </w:r>
      <w:r>
        <w:rPr>
          <w:rFonts w:eastAsia="Calibri"/>
        </w:rPr>
        <w:t>Piegādātāja</w:t>
      </w:r>
      <w:r w:rsidRPr="005B6D0F">
        <w:rPr>
          <w:rFonts w:eastAsia="Calibri"/>
        </w:rPr>
        <w:t xml:space="preserve"> pretenzijas nosūtīšanas dienas uz Pasūtītāja juridisko adresi;</w:t>
      </w:r>
    </w:p>
    <w:p w14:paraId="73578799" w14:textId="77777777" w:rsidR="00625360" w:rsidRPr="005B6D0F" w:rsidRDefault="00625360" w:rsidP="00846BED">
      <w:pPr>
        <w:numPr>
          <w:ilvl w:val="2"/>
          <w:numId w:val="1"/>
        </w:numPr>
        <w:tabs>
          <w:tab w:val="clear" w:pos="1997"/>
          <w:tab w:val="num" w:pos="1276"/>
        </w:tabs>
        <w:ind w:left="1276" w:right="-766" w:hanging="709"/>
        <w:rPr>
          <w:rFonts w:eastAsia="Calibri"/>
        </w:rPr>
      </w:pPr>
      <w:r w:rsidRPr="005B6D0F">
        <w:rPr>
          <w:rFonts w:eastAsia="Calibri"/>
        </w:rPr>
        <w:t>Pasūtītājam ir uzsākts maksātnespējas process, likvidācija, tā darbība tiek izbeigta  vai pārtraukta, vai ir apturēta tā saimnieciskā darbība.</w:t>
      </w:r>
    </w:p>
    <w:p w14:paraId="7FF9F21D" w14:textId="77777777" w:rsidR="00625360" w:rsidRDefault="00625360" w:rsidP="00846BED">
      <w:pPr>
        <w:numPr>
          <w:ilvl w:val="1"/>
          <w:numId w:val="1"/>
        </w:numPr>
        <w:ind w:right="-766" w:hanging="562"/>
        <w:rPr>
          <w:rFonts w:eastAsia="Calibri"/>
        </w:rPr>
      </w:pPr>
      <w:r w:rsidRPr="005B6D0F">
        <w:rPr>
          <w:rFonts w:eastAsia="Calibri"/>
        </w:rPr>
        <w:t xml:space="preserve">Šī Līguma saistību izbeigšanas gadījumā Pasūtītājs veic pilnu norēķinu un samaksā visus Piegādātāja pamatoti iesniegtos rēķinus par faktiski veikto </w:t>
      </w:r>
      <w:r>
        <w:rPr>
          <w:rFonts w:eastAsia="Calibri"/>
        </w:rPr>
        <w:t>pakalpojumu</w:t>
      </w:r>
      <w:r w:rsidRPr="005B6D0F">
        <w:rPr>
          <w:rFonts w:eastAsia="Calibri"/>
        </w:rPr>
        <w:t xml:space="preserve"> līdz līgumsaistību pilnīgai izbeigšanai.</w:t>
      </w:r>
    </w:p>
    <w:p w14:paraId="32CA345A" w14:textId="77777777" w:rsidR="00625360" w:rsidRPr="005B6D0F" w:rsidRDefault="00625360" w:rsidP="00846BED">
      <w:pPr>
        <w:ind w:left="562" w:right="-766"/>
        <w:rPr>
          <w:rFonts w:eastAsia="Calibri"/>
        </w:rPr>
      </w:pPr>
    </w:p>
    <w:p w14:paraId="1247373E" w14:textId="77777777" w:rsidR="00625360" w:rsidRPr="005B6D0F" w:rsidRDefault="00625360" w:rsidP="00846BED">
      <w:pPr>
        <w:numPr>
          <w:ilvl w:val="0"/>
          <w:numId w:val="2"/>
        </w:numPr>
        <w:ind w:right="-766"/>
        <w:jc w:val="center"/>
        <w:rPr>
          <w:rFonts w:eastAsia="Calibri"/>
          <w:b/>
          <w:bCs/>
        </w:rPr>
      </w:pPr>
      <w:r w:rsidRPr="005B6D0F">
        <w:rPr>
          <w:rFonts w:eastAsia="Calibri"/>
          <w:b/>
          <w:bCs/>
        </w:rPr>
        <w:t>Strīdu izskatīšanas kārtība</w:t>
      </w:r>
    </w:p>
    <w:p w14:paraId="511EF122" w14:textId="77777777" w:rsidR="00625360" w:rsidRPr="005B6D0F" w:rsidRDefault="00625360" w:rsidP="00846BED">
      <w:pPr>
        <w:numPr>
          <w:ilvl w:val="1"/>
          <w:numId w:val="2"/>
        </w:numPr>
        <w:ind w:left="567" w:right="-766" w:hanging="567"/>
        <w:contextualSpacing/>
      </w:pPr>
      <w:r w:rsidRPr="005B6D0F">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2B157441" w14:textId="77777777" w:rsidR="00625360" w:rsidRPr="005B6D0F" w:rsidRDefault="00625360" w:rsidP="00846BED">
      <w:pPr>
        <w:numPr>
          <w:ilvl w:val="1"/>
          <w:numId w:val="2"/>
        </w:numPr>
        <w:ind w:left="567" w:right="-766" w:hanging="567"/>
        <w:contextualSpacing/>
      </w:pPr>
      <w:r w:rsidRPr="005B6D0F">
        <w:rPr>
          <w:rFonts w:eastAsia="Calibri"/>
        </w:rPr>
        <w:t>Jautājumos, kas nav tiešā veidā paredzēti Līgumā, Puses risina saskaņā ar spēkā esošajiem normatīvajiem aktiem.</w:t>
      </w:r>
    </w:p>
    <w:p w14:paraId="71199F5A" w14:textId="77777777" w:rsidR="00625360" w:rsidRPr="005B6D0F" w:rsidRDefault="00625360" w:rsidP="00846BED">
      <w:pPr>
        <w:ind w:left="567" w:right="-766"/>
        <w:contextualSpacing/>
      </w:pPr>
    </w:p>
    <w:p w14:paraId="7F03334E" w14:textId="77777777" w:rsidR="00625360" w:rsidRPr="005B6D0F" w:rsidRDefault="00625360" w:rsidP="00846BED">
      <w:pPr>
        <w:numPr>
          <w:ilvl w:val="0"/>
          <w:numId w:val="2"/>
        </w:numPr>
        <w:ind w:right="-766" w:hanging="720"/>
        <w:jc w:val="center"/>
        <w:rPr>
          <w:b/>
          <w:bCs/>
        </w:rPr>
      </w:pPr>
      <w:r w:rsidRPr="005B6D0F">
        <w:rPr>
          <w:b/>
          <w:bCs/>
        </w:rPr>
        <w:t>Citi noteikumi</w:t>
      </w:r>
    </w:p>
    <w:p w14:paraId="38D44207" w14:textId="77777777" w:rsidR="00625360" w:rsidRPr="00262984" w:rsidRDefault="00625360" w:rsidP="00846BED">
      <w:pPr>
        <w:numPr>
          <w:ilvl w:val="1"/>
          <w:numId w:val="2"/>
        </w:numPr>
        <w:ind w:left="567" w:right="-766"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14:paraId="41F5E8C6" w14:textId="77777777" w:rsidR="00625360" w:rsidRPr="005B6D0F" w:rsidRDefault="00625360" w:rsidP="00846BED">
      <w:pPr>
        <w:numPr>
          <w:ilvl w:val="1"/>
          <w:numId w:val="2"/>
        </w:numPr>
        <w:ind w:left="567" w:right="-766" w:hanging="567"/>
        <w:rPr>
          <w:rFonts w:eastAsia="Calibri"/>
        </w:rPr>
      </w:pPr>
      <w:r w:rsidRPr="005B6D0F">
        <w:rPr>
          <w:rFonts w:eastAsia="Calibri"/>
        </w:rPr>
        <w:t xml:space="preserve">Ja kādai no Pusēm tiek mainīti rekvizīti vai Līguma </w:t>
      </w:r>
      <w:r>
        <w:rPr>
          <w:rFonts w:eastAsia="Calibri"/>
        </w:rPr>
        <w:t>4.1.</w:t>
      </w:r>
      <w:r w:rsidRPr="005B6D0F">
        <w:rPr>
          <w:rFonts w:eastAsia="Calibri"/>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1EFD2CB" w14:textId="77777777" w:rsidR="00625360" w:rsidRPr="005B6D0F" w:rsidRDefault="00625360" w:rsidP="00846BED">
      <w:pPr>
        <w:numPr>
          <w:ilvl w:val="1"/>
          <w:numId w:val="2"/>
        </w:numPr>
        <w:ind w:left="567" w:right="-766" w:hanging="567"/>
        <w:rPr>
          <w:rFonts w:eastAsia="Calibri"/>
        </w:rPr>
      </w:pPr>
      <w:r w:rsidRPr="005B6D0F">
        <w:rPr>
          <w:rFonts w:eastAsia="Calibri"/>
        </w:rPr>
        <w:t xml:space="preserve">Pasūtītāja vadītāja maiņa nevar būt par pamatu Līguma pārtraukšanai vai izbeigšanai. Gadījumā, ja notiek Pasūtītāja reorganizācija, Līgums paliek spēkā un tā nosacījumi ir </w:t>
      </w:r>
      <w:r w:rsidRPr="005B6D0F">
        <w:rPr>
          <w:rFonts w:eastAsia="Calibri"/>
        </w:rPr>
        <w:lastRenderedPageBreak/>
        <w:t>saistoši tā tiesību un saistību pārņēmējam. Pasūtītājs par šādu apstākļu iestāšanos 10 (desmit) dienas iepriekš rakstiski brīdina Piegādātāju.</w:t>
      </w:r>
    </w:p>
    <w:p w14:paraId="38766793" w14:textId="77777777" w:rsidR="00625360" w:rsidRPr="005B6D0F" w:rsidRDefault="00625360" w:rsidP="00846BED">
      <w:pPr>
        <w:numPr>
          <w:ilvl w:val="1"/>
          <w:numId w:val="2"/>
        </w:numPr>
        <w:ind w:left="567" w:right="-766" w:hanging="567"/>
        <w:rPr>
          <w:rFonts w:eastAsia="Calibri"/>
        </w:rPr>
      </w:pPr>
      <w:r w:rsidRPr="005B6D0F">
        <w:rPr>
          <w:rFonts w:eastAsia="Calibri"/>
        </w:rPr>
        <w:t>Informācijas apmaiņa starp Pusēm var notikt arī izmantojot e-pasta saraksti, kas kļūst par Līguma neatņemamu sastāvdaļu.</w:t>
      </w:r>
    </w:p>
    <w:p w14:paraId="3170443A" w14:textId="77777777" w:rsidR="00625360" w:rsidRPr="005B6D0F" w:rsidRDefault="00625360" w:rsidP="00846BED">
      <w:pPr>
        <w:numPr>
          <w:ilvl w:val="1"/>
          <w:numId w:val="2"/>
        </w:numPr>
        <w:ind w:left="567" w:right="-766" w:hanging="567"/>
        <w:rPr>
          <w:rFonts w:eastAsia="Calibri"/>
        </w:rPr>
      </w:pPr>
      <w:r w:rsidRPr="005B6D0F">
        <w:rPr>
          <w:rFonts w:eastAsia="Calibri"/>
        </w:rPr>
        <w:t>Puses nav tiesīgas nodot savas tiesības un saistības, kas saistītas ar Līgumu un izriet no tā, trešajai personai.</w:t>
      </w:r>
    </w:p>
    <w:p w14:paraId="3AF62609" w14:textId="3C5BB3DF" w:rsidR="00625360" w:rsidRPr="005B6D0F" w:rsidRDefault="00625360" w:rsidP="00846BED">
      <w:pPr>
        <w:numPr>
          <w:ilvl w:val="1"/>
          <w:numId w:val="2"/>
        </w:numPr>
        <w:ind w:left="567" w:right="-766" w:hanging="567"/>
      </w:pPr>
      <w:r w:rsidRPr="005B6D0F">
        <w:t xml:space="preserve">Līgums sagatavots latviešu valodā, parakstīts divos oriģinālos eksemplāros uz </w:t>
      </w:r>
      <w:r w:rsidR="008437CB">
        <w:t xml:space="preserve">8 </w:t>
      </w:r>
      <w:r w:rsidRPr="005B6D0F">
        <w:t>(</w:t>
      </w:r>
      <w:r w:rsidR="008437CB">
        <w:t>astoņām</w:t>
      </w:r>
      <w:r w:rsidRPr="005B6D0F">
        <w:t xml:space="preserve">) lapām, ar </w:t>
      </w:r>
      <w:r w:rsidR="008437CB">
        <w:t>1</w:t>
      </w:r>
      <w:r w:rsidRPr="005B6D0F">
        <w:t xml:space="preserve"> (</w:t>
      </w:r>
      <w:r w:rsidR="008437CB">
        <w:t>vienu)</w:t>
      </w:r>
      <w:r w:rsidR="00B10B46">
        <w:t xml:space="preserve"> pielikumu</w:t>
      </w:r>
      <w:r w:rsidRPr="005B6D0F">
        <w:t>, abi eksemplāri ir ar vienādu juridisko spēku. Viens no Līguma eksemplāriem atrodas pie Pasūtītāja, bet otrs – pie Piegādātāja.</w:t>
      </w:r>
    </w:p>
    <w:p w14:paraId="101DED41" w14:textId="77777777" w:rsidR="00625360" w:rsidRPr="005B6D0F" w:rsidRDefault="00625360" w:rsidP="00625360">
      <w:pPr>
        <w:ind w:right="-1"/>
        <w:rPr>
          <w:rFonts w:eastAsia="Calibri"/>
        </w:rPr>
      </w:pPr>
    </w:p>
    <w:p w14:paraId="6723A31D" w14:textId="77777777" w:rsidR="00625360" w:rsidRPr="005B6D0F" w:rsidRDefault="00625360" w:rsidP="00625360">
      <w:pPr>
        <w:numPr>
          <w:ilvl w:val="0"/>
          <w:numId w:val="2"/>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625360" w:rsidRPr="005B6D0F" w14:paraId="097598B0" w14:textId="77777777" w:rsidTr="00574012">
        <w:trPr>
          <w:trHeight w:val="80"/>
        </w:trPr>
        <w:tc>
          <w:tcPr>
            <w:tcW w:w="4608" w:type="dxa"/>
          </w:tcPr>
          <w:p w14:paraId="5D357AD5" w14:textId="77777777" w:rsidR="00625360" w:rsidRPr="005B6D0F" w:rsidRDefault="00625360" w:rsidP="00574012">
            <w:pPr>
              <w:ind w:right="-1"/>
              <w:rPr>
                <w:b/>
                <w:bCs/>
                <w:u w:val="single"/>
              </w:rPr>
            </w:pPr>
            <w:r w:rsidRPr="005B6D0F">
              <w:rPr>
                <w:b/>
                <w:bCs/>
                <w:u w:val="single"/>
              </w:rPr>
              <w:t>Pasūtītājs:</w:t>
            </w:r>
          </w:p>
          <w:p w14:paraId="67B61B69" w14:textId="77777777" w:rsidR="00625360" w:rsidRPr="005B6D0F" w:rsidRDefault="00625360" w:rsidP="00574012">
            <w:pPr>
              <w:ind w:right="-1"/>
              <w:rPr>
                <w:b/>
                <w:bCs/>
              </w:rPr>
            </w:pPr>
            <w:r w:rsidRPr="005B6D0F">
              <w:rPr>
                <w:b/>
                <w:bCs/>
              </w:rPr>
              <w:t>VSIA “Paula Stradiņa klīniskās</w:t>
            </w:r>
          </w:p>
          <w:p w14:paraId="504689C6" w14:textId="77777777" w:rsidR="00625360" w:rsidRPr="005B6D0F" w:rsidRDefault="00625360" w:rsidP="00574012">
            <w:pPr>
              <w:ind w:right="-1"/>
              <w:rPr>
                <w:b/>
                <w:bCs/>
              </w:rPr>
            </w:pPr>
            <w:r w:rsidRPr="005B6D0F">
              <w:rPr>
                <w:b/>
                <w:bCs/>
              </w:rPr>
              <w:t>universitātes slimnīca”</w:t>
            </w:r>
          </w:p>
          <w:p w14:paraId="3D2049B8" w14:textId="77777777" w:rsidR="00625360" w:rsidRPr="005B6D0F" w:rsidRDefault="00625360" w:rsidP="00574012">
            <w:pPr>
              <w:ind w:right="-1"/>
            </w:pPr>
            <w:r w:rsidRPr="005B6D0F">
              <w:t xml:space="preserve">Reģ. Nr. </w:t>
            </w:r>
            <w:r w:rsidRPr="005B6D0F">
              <w:rPr>
                <w:lang w:val="en-GB"/>
              </w:rPr>
              <w:t>40003457109</w:t>
            </w:r>
          </w:p>
          <w:p w14:paraId="1AB8FB0D" w14:textId="77777777" w:rsidR="00625360" w:rsidRPr="005B6D0F" w:rsidRDefault="00625360" w:rsidP="00574012">
            <w:pPr>
              <w:ind w:right="-1"/>
            </w:pPr>
            <w:r w:rsidRPr="005B6D0F">
              <w:t>Pilsoņu iela 13, Rīga, LV - 1002</w:t>
            </w:r>
          </w:p>
          <w:p w14:paraId="4583E815" w14:textId="77777777" w:rsidR="00625360" w:rsidRPr="005B6D0F" w:rsidRDefault="00625360" w:rsidP="00574012">
            <w:pPr>
              <w:ind w:right="-1"/>
            </w:pPr>
            <w:r w:rsidRPr="005B6D0F">
              <w:t>Konta Nr. LV74HABA0551027673367</w:t>
            </w:r>
          </w:p>
          <w:p w14:paraId="706B369B" w14:textId="77777777" w:rsidR="00625360" w:rsidRPr="005B6D0F" w:rsidRDefault="00625360" w:rsidP="00574012">
            <w:pPr>
              <w:ind w:right="-1"/>
            </w:pPr>
            <w:r>
              <w:t>Banka: AS Swedbank</w:t>
            </w:r>
            <w:r w:rsidRPr="005B6D0F">
              <w:t xml:space="preserve">  </w:t>
            </w:r>
          </w:p>
          <w:p w14:paraId="5C1AD55D" w14:textId="77777777" w:rsidR="00625360" w:rsidRPr="005B6D0F" w:rsidRDefault="00625360" w:rsidP="00574012">
            <w:pPr>
              <w:ind w:right="-1"/>
            </w:pPr>
            <w:r w:rsidRPr="005B6D0F">
              <w:t>Kods: HABALV22</w:t>
            </w:r>
          </w:p>
          <w:p w14:paraId="0C7830C6" w14:textId="77777777" w:rsidR="00625360" w:rsidRPr="005B6D0F" w:rsidRDefault="00625360" w:rsidP="00574012">
            <w:pPr>
              <w:ind w:right="-1"/>
            </w:pPr>
          </w:p>
          <w:p w14:paraId="79F3C330" w14:textId="77777777" w:rsidR="00625360" w:rsidRPr="005B6D0F" w:rsidRDefault="00625360" w:rsidP="00574012">
            <w:pPr>
              <w:ind w:right="-1"/>
            </w:pPr>
          </w:p>
          <w:p w14:paraId="17940F89" w14:textId="77777777" w:rsidR="00625360" w:rsidRPr="005B6D0F" w:rsidRDefault="00625360" w:rsidP="00574012">
            <w:pPr>
              <w:ind w:right="-1"/>
            </w:pPr>
            <w:r w:rsidRPr="005B6D0F">
              <w:t>___________________________</w:t>
            </w:r>
          </w:p>
          <w:p w14:paraId="2624C16E" w14:textId="77777777" w:rsidR="0094315B" w:rsidRDefault="0094315B" w:rsidP="0094315B">
            <w:bookmarkStart w:id="0" w:name="OLE_LINK1"/>
            <w:bookmarkStart w:id="1" w:name="OLE_LINK2"/>
            <w:r>
              <w:t>I.Kreicberga</w:t>
            </w:r>
          </w:p>
          <w:bookmarkEnd w:id="0"/>
          <w:bookmarkEnd w:id="1"/>
          <w:p w14:paraId="6B1D5773" w14:textId="77777777" w:rsidR="00625360" w:rsidRPr="005B6D0F" w:rsidRDefault="00625360" w:rsidP="00574012">
            <w:pPr>
              <w:tabs>
                <w:tab w:val="left" w:pos="3195"/>
              </w:tabs>
              <w:ind w:right="-1"/>
              <w:rPr>
                <w:b/>
                <w:bCs/>
              </w:rPr>
            </w:pPr>
          </w:p>
          <w:p w14:paraId="5FB0C359" w14:textId="77777777" w:rsidR="00625360" w:rsidRPr="005B6D0F" w:rsidRDefault="00625360" w:rsidP="00574012">
            <w:pPr>
              <w:tabs>
                <w:tab w:val="left" w:pos="3195"/>
              </w:tabs>
              <w:ind w:right="-1"/>
              <w:rPr>
                <w:b/>
                <w:bCs/>
              </w:rPr>
            </w:pPr>
          </w:p>
        </w:tc>
        <w:tc>
          <w:tcPr>
            <w:tcW w:w="4637" w:type="dxa"/>
          </w:tcPr>
          <w:p w14:paraId="1B430ED1" w14:textId="77777777" w:rsidR="00625360" w:rsidRPr="005B6D0F" w:rsidRDefault="00625360" w:rsidP="00574012">
            <w:pPr>
              <w:ind w:right="-1"/>
              <w:jc w:val="left"/>
              <w:rPr>
                <w:b/>
                <w:bCs/>
              </w:rPr>
            </w:pPr>
            <w:r w:rsidRPr="005B6D0F">
              <w:rPr>
                <w:b/>
                <w:bCs/>
                <w:u w:val="single"/>
              </w:rPr>
              <w:t>Piegādātājs:</w:t>
            </w:r>
          </w:p>
          <w:p w14:paraId="769C2776" w14:textId="77777777" w:rsidR="0094315B" w:rsidRDefault="0094315B" w:rsidP="0094315B">
            <w:pPr>
              <w:ind w:right="-1"/>
              <w:rPr>
                <w:b/>
                <w:bCs/>
                <w:color w:val="00000A"/>
              </w:rPr>
            </w:pPr>
            <w:r>
              <w:rPr>
                <w:b/>
                <w:bCs/>
                <w:color w:val="00000A"/>
              </w:rPr>
              <w:t>SIA “Datakom”</w:t>
            </w:r>
          </w:p>
          <w:p w14:paraId="5FA2DB44" w14:textId="77777777" w:rsidR="0094315B" w:rsidRDefault="0094315B" w:rsidP="0094315B">
            <w:pPr>
              <w:ind w:right="-1"/>
              <w:rPr>
                <w:color w:val="00000A"/>
              </w:rPr>
            </w:pPr>
            <w:r>
              <w:rPr>
                <w:color w:val="00000A"/>
              </w:rPr>
              <w:t>Reģ. Nr.: 40103142605,</w:t>
            </w:r>
          </w:p>
          <w:p w14:paraId="05C2B438" w14:textId="77777777" w:rsidR="0094315B" w:rsidRDefault="0094315B" w:rsidP="0094315B">
            <w:pPr>
              <w:ind w:right="-1"/>
              <w:rPr>
                <w:color w:val="00000A"/>
              </w:rPr>
            </w:pPr>
            <w:r>
              <w:rPr>
                <w:color w:val="00000A"/>
              </w:rPr>
              <w:t>Vienības gatve 109, Rīga, LV - 1058,</w:t>
            </w:r>
          </w:p>
          <w:p w14:paraId="19888D21" w14:textId="77777777" w:rsidR="0094315B" w:rsidRDefault="0094315B" w:rsidP="0094315B">
            <w:pPr>
              <w:ind w:right="-1"/>
              <w:rPr>
                <w:color w:val="00000A"/>
              </w:rPr>
            </w:pPr>
            <w:r>
              <w:rPr>
                <w:color w:val="00000A"/>
              </w:rPr>
              <w:t>Konta Nr.: LV13NDEA0000080227272</w:t>
            </w:r>
          </w:p>
          <w:p w14:paraId="269AFB17" w14:textId="77777777" w:rsidR="0094315B" w:rsidRDefault="0094315B" w:rsidP="0094315B">
            <w:pPr>
              <w:ind w:right="-1"/>
              <w:rPr>
                <w:color w:val="00000A"/>
              </w:rPr>
            </w:pPr>
            <w:r>
              <w:rPr>
                <w:color w:val="00000A"/>
              </w:rPr>
              <w:t>Banka: Nordea Bank AB Latvijas filiāle</w:t>
            </w:r>
          </w:p>
          <w:p w14:paraId="229F5B80" w14:textId="77777777" w:rsidR="0094315B" w:rsidRDefault="0094315B" w:rsidP="0094315B">
            <w:r>
              <w:rPr>
                <w:color w:val="00000A"/>
              </w:rPr>
              <w:t>Kods: NDEALV2X</w:t>
            </w:r>
          </w:p>
          <w:p w14:paraId="5686158A" w14:textId="77777777" w:rsidR="0094315B" w:rsidRDefault="0094315B" w:rsidP="0094315B"/>
          <w:p w14:paraId="70F53961" w14:textId="77777777" w:rsidR="0094315B" w:rsidRDefault="0094315B" w:rsidP="0094315B"/>
          <w:p w14:paraId="0AA72DCF" w14:textId="77777777" w:rsidR="0094315B" w:rsidRDefault="0094315B" w:rsidP="0094315B"/>
          <w:p w14:paraId="4A952382" w14:textId="77777777" w:rsidR="0094315B" w:rsidRDefault="0094315B" w:rsidP="0094315B">
            <w:r>
              <w:t>____________________________</w:t>
            </w:r>
          </w:p>
          <w:p w14:paraId="56800CBD" w14:textId="77777777" w:rsidR="00625360" w:rsidRPr="005B6D0F" w:rsidRDefault="0094315B" w:rsidP="0094315B">
            <w:pPr>
              <w:ind w:right="-1"/>
              <w:jc w:val="left"/>
            </w:pPr>
            <w:r>
              <w:t>U.Semeiks</w:t>
            </w:r>
          </w:p>
        </w:tc>
      </w:tr>
    </w:tbl>
    <w:p w14:paraId="7F6F4C3C" w14:textId="2DAE44A7" w:rsidR="0094315B" w:rsidRDefault="00547733">
      <w:r>
        <w:t>___________________________</w:t>
      </w:r>
    </w:p>
    <w:p w14:paraId="6BCC91C1" w14:textId="06C1A4F2" w:rsidR="008437CB" w:rsidRDefault="00951E7E" w:rsidP="0094315B">
      <w:pPr>
        <w:sectPr w:rsidR="008437CB" w:rsidSect="00951E7E">
          <w:footerReference w:type="default" r:id="rId9"/>
          <w:pgSz w:w="11906" w:h="16838"/>
          <w:pgMar w:top="1440" w:right="1797" w:bottom="1440" w:left="1797" w:header="709" w:footer="709" w:gutter="0"/>
          <w:cols w:space="708"/>
          <w:titlePg/>
          <w:docGrid w:linePitch="360"/>
        </w:sectPr>
      </w:pPr>
      <w:r>
        <w:t>E. Buša</w:t>
      </w:r>
      <w:bookmarkStart w:id="2" w:name="_GoBack"/>
      <w:bookmarkEnd w:id="2"/>
    </w:p>
    <w:p w14:paraId="247B39E9" w14:textId="366D6E52" w:rsidR="00951E7E" w:rsidRDefault="00951E7E" w:rsidP="00951E7E"/>
    <w:sectPr w:rsidR="00951E7E" w:rsidSect="00951E7E">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960F" w14:textId="77777777" w:rsidR="009A5C90" w:rsidRDefault="009A5C90" w:rsidP="00003CF9">
      <w:r>
        <w:separator/>
      </w:r>
    </w:p>
  </w:endnote>
  <w:endnote w:type="continuationSeparator" w:id="0">
    <w:p w14:paraId="13493283" w14:textId="77777777" w:rsidR="009A5C90" w:rsidRDefault="009A5C90" w:rsidP="0000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656608"/>
      <w:docPartObj>
        <w:docPartGallery w:val="Page Numbers (Bottom of Page)"/>
        <w:docPartUnique/>
      </w:docPartObj>
    </w:sdtPr>
    <w:sdtEndPr>
      <w:rPr>
        <w:noProof/>
      </w:rPr>
    </w:sdtEndPr>
    <w:sdtContent>
      <w:p w14:paraId="011C97C9" w14:textId="2B7D7CD8" w:rsidR="00B10B46" w:rsidRDefault="00B10B46">
        <w:pPr>
          <w:pStyle w:val="Footer"/>
          <w:jc w:val="center"/>
        </w:pPr>
        <w:r>
          <w:fldChar w:fldCharType="begin"/>
        </w:r>
        <w:r>
          <w:instrText xml:space="preserve"> PAGE   \* MERGEFORMAT </w:instrText>
        </w:r>
        <w:r>
          <w:fldChar w:fldCharType="separate"/>
        </w:r>
        <w:r w:rsidR="00951E7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CAAA" w14:textId="77777777" w:rsidR="009A5C90" w:rsidRDefault="009A5C90" w:rsidP="00003CF9">
      <w:r>
        <w:separator/>
      </w:r>
    </w:p>
  </w:footnote>
  <w:footnote w:type="continuationSeparator" w:id="0">
    <w:p w14:paraId="1B9D6656" w14:textId="77777777" w:rsidR="009A5C90" w:rsidRDefault="009A5C90" w:rsidP="0000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4DB1238"/>
    <w:multiLevelType w:val="multilevel"/>
    <w:tmpl w:val="AF0A9F1C"/>
    <w:lvl w:ilvl="0">
      <w:start w:val="1"/>
      <w:numFmt w:val="decimal"/>
      <w:pStyle w:val="Heading1"/>
      <w:lvlText w:val="%1."/>
      <w:lvlJc w:val="left"/>
      <w:pPr>
        <w:tabs>
          <w:tab w:val="num" w:pos="716"/>
        </w:tabs>
        <w:ind w:left="716" w:hanging="432"/>
      </w:pPr>
      <w:rPr>
        <w:rFonts w:hint="default"/>
        <w:sz w:val="32"/>
        <w:szCs w:val="32"/>
      </w:rPr>
    </w:lvl>
    <w:lvl w:ilvl="1">
      <w:start w:val="1"/>
      <w:numFmt w:val="decimal"/>
      <w:pStyle w:val="Heading2"/>
      <w:lvlText w:val="%1.%2."/>
      <w:lvlJc w:val="left"/>
      <w:pPr>
        <w:tabs>
          <w:tab w:val="num" w:pos="860"/>
        </w:tabs>
        <w:ind w:left="860"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580"/>
        </w:tabs>
        <w:ind w:left="1580" w:hanging="1296"/>
      </w:pPr>
      <w:rPr>
        <w:rFonts w:hint="default"/>
      </w:rPr>
    </w:lvl>
    <w:lvl w:ilvl="7">
      <w:start w:val="1"/>
      <w:numFmt w:val="decimal"/>
      <w:pStyle w:val="Heading8"/>
      <w:lvlText w:val="%1.%2.%3.%4.%5.%6.%7.%8"/>
      <w:lvlJc w:val="left"/>
      <w:pPr>
        <w:tabs>
          <w:tab w:val="num" w:pos="1724"/>
        </w:tabs>
        <w:ind w:left="1724" w:hanging="1440"/>
      </w:pPr>
      <w:rPr>
        <w:rFonts w:hint="default"/>
      </w:rPr>
    </w:lvl>
    <w:lvl w:ilvl="8">
      <w:start w:val="1"/>
      <w:numFmt w:val="decimal"/>
      <w:pStyle w:val="Heading9"/>
      <w:lvlText w:val="%1.%2.%3.%4.%5.%6.%7.%8.%9"/>
      <w:lvlJc w:val="left"/>
      <w:pPr>
        <w:tabs>
          <w:tab w:val="num" w:pos="1868"/>
        </w:tabs>
        <w:ind w:left="1868" w:hanging="1584"/>
      </w:pPr>
      <w:rPr>
        <w:rFonts w:hint="default"/>
      </w:rPr>
    </w:lvl>
  </w:abstractNum>
  <w:abstractNum w:abstractNumId="2"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60"/>
    <w:rsid w:val="00003CF9"/>
    <w:rsid w:val="000C4CE3"/>
    <w:rsid w:val="003B7F34"/>
    <w:rsid w:val="00547733"/>
    <w:rsid w:val="00625360"/>
    <w:rsid w:val="006E5C34"/>
    <w:rsid w:val="007B334B"/>
    <w:rsid w:val="008437CB"/>
    <w:rsid w:val="00846BED"/>
    <w:rsid w:val="0094315B"/>
    <w:rsid w:val="00951E7E"/>
    <w:rsid w:val="009A5C90"/>
    <w:rsid w:val="009C42B7"/>
    <w:rsid w:val="00B10B46"/>
    <w:rsid w:val="00D373CE"/>
    <w:rsid w:val="00D66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67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733"/>
    <w:pPr>
      <w:spacing w:after="0" w:line="240" w:lineRule="auto"/>
      <w:jc w:val="both"/>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
    <w:basedOn w:val="Normal"/>
    <w:next w:val="Normal"/>
    <w:link w:val="Heading1Char"/>
    <w:qFormat/>
    <w:rsid w:val="008437CB"/>
    <w:pPr>
      <w:keepNext/>
      <w:widowControl w:val="0"/>
      <w:numPr>
        <w:numId w:val="3"/>
      </w:numPr>
      <w:tabs>
        <w:tab w:val="clear" w:pos="716"/>
        <w:tab w:val="left" w:pos="454"/>
      </w:tabs>
      <w:spacing w:before="60" w:after="60"/>
      <w:ind w:left="431" w:hanging="431"/>
      <w:jc w:val="center"/>
      <w:outlineLvl w:val="0"/>
    </w:pPr>
    <w:rPr>
      <w:rFonts w:ascii="Arial" w:hAnsi="Arial" w:cs="Arial"/>
      <w:b/>
      <w:bCs/>
      <w:snapToGrid w:val="0"/>
      <w:kern w:val="32"/>
      <w:sz w:val="32"/>
      <w:szCs w:val="32"/>
      <w:lang w:eastAsia="lv-LV"/>
    </w:rPr>
  </w:style>
  <w:style w:type="paragraph" w:styleId="Heading2">
    <w:name w:val="heading 2"/>
    <w:aliases w:val="Antraste 2,Reset numbering,B_Kapittel,HD2"/>
    <w:basedOn w:val="Normal"/>
    <w:next w:val="Normal"/>
    <w:link w:val="Heading2Char"/>
    <w:qFormat/>
    <w:rsid w:val="008437CB"/>
    <w:pPr>
      <w:keepNext/>
      <w:widowControl w:val="0"/>
      <w:numPr>
        <w:ilvl w:val="1"/>
        <w:numId w:val="3"/>
      </w:numPr>
      <w:tabs>
        <w:tab w:val="left" w:pos="567"/>
      </w:tabs>
      <w:spacing w:before="60" w:after="60"/>
      <w:ind w:left="578" w:hanging="578"/>
      <w:jc w:val="left"/>
      <w:outlineLvl w:val="1"/>
    </w:pPr>
    <w:rPr>
      <w:rFonts w:ascii="Arial" w:hAnsi="Arial" w:cs="Arial"/>
      <w:b/>
      <w:bCs/>
      <w:i/>
      <w:iCs/>
      <w:snapToGrid w:val="0"/>
      <w:sz w:val="28"/>
      <w:szCs w:val="28"/>
      <w:lang w:eastAsia="lv-LV"/>
    </w:rPr>
  </w:style>
  <w:style w:type="paragraph" w:styleId="Heading3">
    <w:name w:val="heading 3"/>
    <w:basedOn w:val="Normal"/>
    <w:next w:val="Normal"/>
    <w:link w:val="Heading3Char"/>
    <w:qFormat/>
    <w:rsid w:val="008437CB"/>
    <w:pPr>
      <w:keepNext/>
      <w:widowControl w:val="0"/>
      <w:numPr>
        <w:ilvl w:val="2"/>
        <w:numId w:val="3"/>
      </w:numPr>
      <w:jc w:val="right"/>
      <w:outlineLvl w:val="2"/>
    </w:pPr>
    <w:rPr>
      <w:rFonts w:ascii="Arial" w:hAnsi="Arial" w:cs="Arial"/>
      <w:snapToGrid w:val="0"/>
      <w:sz w:val="28"/>
      <w:szCs w:val="20"/>
      <w:lang w:eastAsia="lv-LV"/>
    </w:rPr>
  </w:style>
  <w:style w:type="paragraph" w:styleId="Heading4">
    <w:name w:val="heading 4"/>
    <w:basedOn w:val="Normal"/>
    <w:next w:val="Normal"/>
    <w:link w:val="Heading4Char"/>
    <w:qFormat/>
    <w:rsid w:val="008437CB"/>
    <w:pPr>
      <w:keepNext/>
      <w:numPr>
        <w:ilvl w:val="3"/>
        <w:numId w:val="3"/>
      </w:numPr>
      <w:spacing w:before="240" w:after="60"/>
      <w:jc w:val="left"/>
      <w:outlineLvl w:val="3"/>
    </w:pPr>
    <w:rPr>
      <w:rFonts w:ascii="Arial" w:hAnsi="Arial" w:cs="Arial"/>
      <w:b/>
      <w:bCs/>
      <w:sz w:val="28"/>
      <w:szCs w:val="28"/>
      <w:lang w:eastAsia="lv-LV"/>
    </w:rPr>
  </w:style>
  <w:style w:type="paragraph" w:styleId="Heading5">
    <w:name w:val="heading 5"/>
    <w:basedOn w:val="Normal"/>
    <w:next w:val="Normal"/>
    <w:link w:val="Heading5Char"/>
    <w:qFormat/>
    <w:rsid w:val="008437CB"/>
    <w:pPr>
      <w:widowControl w:val="0"/>
      <w:numPr>
        <w:ilvl w:val="4"/>
        <w:numId w:val="3"/>
      </w:numPr>
      <w:spacing w:before="240" w:after="60"/>
      <w:jc w:val="left"/>
      <w:outlineLvl w:val="4"/>
    </w:pPr>
    <w:rPr>
      <w:rFonts w:ascii="Arial" w:hAnsi="Arial" w:cs="Arial"/>
      <w:b/>
      <w:bCs/>
      <w:i/>
      <w:iCs/>
      <w:snapToGrid w:val="0"/>
      <w:sz w:val="26"/>
      <w:szCs w:val="26"/>
      <w:lang w:eastAsia="lv-LV"/>
    </w:rPr>
  </w:style>
  <w:style w:type="paragraph" w:styleId="Heading6">
    <w:name w:val="heading 6"/>
    <w:basedOn w:val="Normal"/>
    <w:next w:val="Normal"/>
    <w:link w:val="Heading6Char"/>
    <w:qFormat/>
    <w:rsid w:val="008437CB"/>
    <w:pPr>
      <w:keepNext/>
      <w:numPr>
        <w:ilvl w:val="5"/>
        <w:numId w:val="3"/>
      </w:numPr>
      <w:jc w:val="left"/>
      <w:outlineLvl w:val="5"/>
    </w:pPr>
    <w:rPr>
      <w:rFonts w:ascii="Arial" w:hAnsi="Arial" w:cs="Arial"/>
      <w:b/>
      <w:bCs/>
      <w:lang w:eastAsia="lv-LV"/>
    </w:rPr>
  </w:style>
  <w:style w:type="paragraph" w:styleId="Heading7">
    <w:name w:val="heading 7"/>
    <w:basedOn w:val="Normal"/>
    <w:next w:val="Normal"/>
    <w:link w:val="Heading7Char"/>
    <w:qFormat/>
    <w:rsid w:val="008437CB"/>
    <w:pPr>
      <w:widowControl w:val="0"/>
      <w:numPr>
        <w:ilvl w:val="6"/>
        <w:numId w:val="3"/>
      </w:numPr>
      <w:spacing w:before="240" w:after="60"/>
      <w:jc w:val="left"/>
      <w:outlineLvl w:val="6"/>
    </w:pPr>
    <w:rPr>
      <w:rFonts w:ascii="Arial" w:hAnsi="Arial" w:cs="Arial"/>
      <w:snapToGrid w:val="0"/>
      <w:lang w:eastAsia="lv-LV"/>
    </w:rPr>
  </w:style>
  <w:style w:type="paragraph" w:styleId="Heading8">
    <w:name w:val="heading 8"/>
    <w:basedOn w:val="Normal"/>
    <w:next w:val="Normal"/>
    <w:link w:val="Heading8Char"/>
    <w:qFormat/>
    <w:rsid w:val="008437CB"/>
    <w:pPr>
      <w:widowControl w:val="0"/>
      <w:numPr>
        <w:ilvl w:val="7"/>
        <w:numId w:val="3"/>
      </w:numPr>
      <w:spacing w:before="240" w:after="60"/>
      <w:jc w:val="left"/>
      <w:outlineLvl w:val="7"/>
    </w:pPr>
    <w:rPr>
      <w:rFonts w:ascii="Arial" w:hAnsi="Arial" w:cs="Arial"/>
      <w:i/>
      <w:iCs/>
      <w:snapToGrid w:val="0"/>
      <w:lang w:eastAsia="lv-LV"/>
    </w:rPr>
  </w:style>
  <w:style w:type="paragraph" w:styleId="Heading9">
    <w:name w:val="heading 9"/>
    <w:basedOn w:val="Normal"/>
    <w:next w:val="Normal"/>
    <w:link w:val="Heading9Char"/>
    <w:qFormat/>
    <w:rsid w:val="008437CB"/>
    <w:pPr>
      <w:widowControl w:val="0"/>
      <w:numPr>
        <w:ilvl w:val="8"/>
        <w:numId w:val="3"/>
      </w:numPr>
      <w:spacing w:before="240" w:after="60"/>
      <w:jc w:val="left"/>
      <w:outlineLvl w:val="8"/>
    </w:pPr>
    <w:rPr>
      <w:rFonts w:ascii="Arial" w:hAnsi="Arial" w:cs="Arial"/>
      <w:snapToGrid w:val="0"/>
      <w:sz w:val="20"/>
      <w:szCs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625360"/>
    <w:pPr>
      <w:spacing w:before="240" w:after="100" w:afterAutospacing="1"/>
      <w:contextualSpacing/>
      <w:jc w:val="center"/>
    </w:pPr>
    <w:rPr>
      <w:b/>
      <w:spacing w:val="5"/>
      <w:kern w:val="28"/>
    </w:rPr>
  </w:style>
  <w:style w:type="character" w:customStyle="1" w:styleId="TitleChar">
    <w:name w:val="Title Char"/>
    <w:basedOn w:val="DefaultParagraphFont"/>
    <w:link w:val="Title"/>
    <w:rsid w:val="00625360"/>
    <w:rPr>
      <w:rFonts w:ascii="Times New Roman" w:eastAsia="Times New Roman" w:hAnsi="Times New Roman" w:cs="Times New Roman"/>
      <w:b/>
      <w:spacing w:val="5"/>
      <w:kern w:val="28"/>
      <w:sz w:val="24"/>
      <w:szCs w:val="24"/>
    </w:rPr>
  </w:style>
  <w:style w:type="paragraph" w:styleId="ListParagraph">
    <w:name w:val="List Paragraph"/>
    <w:basedOn w:val="Normal"/>
    <w:link w:val="ListParagraphChar"/>
    <w:uiPriority w:val="34"/>
    <w:qFormat/>
    <w:rsid w:val="00625360"/>
    <w:pPr>
      <w:ind w:left="720"/>
      <w:jc w:val="left"/>
    </w:pPr>
    <w:rPr>
      <w:lang w:val="x-none" w:eastAsia="x-none"/>
    </w:rPr>
  </w:style>
  <w:style w:type="character" w:customStyle="1" w:styleId="ListParagraphChar">
    <w:name w:val="List Paragraph Char"/>
    <w:link w:val="ListParagraph"/>
    <w:uiPriority w:val="34"/>
    <w:rsid w:val="00625360"/>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94315B"/>
    <w:rPr>
      <w:color w:val="0563C1" w:themeColor="hyperlink"/>
      <w:u w:val="single"/>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8437CB"/>
    <w:rPr>
      <w:rFonts w:ascii="Arial" w:eastAsia="Times New Roman" w:hAnsi="Arial" w:cs="Arial"/>
      <w:b/>
      <w:bCs/>
      <w:snapToGrid w:val="0"/>
      <w:kern w:val="32"/>
      <w:sz w:val="32"/>
      <w:szCs w:val="32"/>
      <w:lang w:eastAsia="lv-LV"/>
    </w:rPr>
  </w:style>
  <w:style w:type="character" w:customStyle="1" w:styleId="Heading2Char">
    <w:name w:val="Heading 2 Char"/>
    <w:aliases w:val="Antraste 2 Char,Reset numbering Char,B_Kapittel Char,HD2 Char"/>
    <w:basedOn w:val="DefaultParagraphFont"/>
    <w:link w:val="Heading2"/>
    <w:rsid w:val="008437CB"/>
    <w:rPr>
      <w:rFonts w:ascii="Arial" w:eastAsia="Times New Roman" w:hAnsi="Arial" w:cs="Arial"/>
      <w:b/>
      <w:bCs/>
      <w:i/>
      <w:iCs/>
      <w:snapToGrid w:val="0"/>
      <w:sz w:val="28"/>
      <w:szCs w:val="28"/>
      <w:lang w:eastAsia="lv-LV"/>
    </w:rPr>
  </w:style>
  <w:style w:type="character" w:customStyle="1" w:styleId="Heading3Char">
    <w:name w:val="Heading 3 Char"/>
    <w:basedOn w:val="DefaultParagraphFont"/>
    <w:link w:val="Heading3"/>
    <w:rsid w:val="008437CB"/>
    <w:rPr>
      <w:rFonts w:ascii="Arial" w:eastAsia="Times New Roman" w:hAnsi="Arial" w:cs="Arial"/>
      <w:snapToGrid w:val="0"/>
      <w:sz w:val="28"/>
      <w:szCs w:val="20"/>
      <w:lang w:eastAsia="lv-LV"/>
    </w:rPr>
  </w:style>
  <w:style w:type="character" w:customStyle="1" w:styleId="Heading4Char">
    <w:name w:val="Heading 4 Char"/>
    <w:basedOn w:val="DefaultParagraphFont"/>
    <w:link w:val="Heading4"/>
    <w:rsid w:val="008437CB"/>
    <w:rPr>
      <w:rFonts w:ascii="Arial" w:eastAsia="Times New Roman" w:hAnsi="Arial" w:cs="Arial"/>
      <w:b/>
      <w:bCs/>
      <w:sz w:val="28"/>
      <w:szCs w:val="28"/>
      <w:lang w:eastAsia="lv-LV"/>
    </w:rPr>
  </w:style>
  <w:style w:type="character" w:customStyle="1" w:styleId="Heading5Char">
    <w:name w:val="Heading 5 Char"/>
    <w:basedOn w:val="DefaultParagraphFont"/>
    <w:link w:val="Heading5"/>
    <w:rsid w:val="008437CB"/>
    <w:rPr>
      <w:rFonts w:ascii="Arial" w:eastAsia="Times New Roman" w:hAnsi="Arial" w:cs="Arial"/>
      <w:b/>
      <w:bCs/>
      <w:i/>
      <w:iCs/>
      <w:snapToGrid w:val="0"/>
      <w:sz w:val="26"/>
      <w:szCs w:val="26"/>
      <w:lang w:eastAsia="lv-LV"/>
    </w:rPr>
  </w:style>
  <w:style w:type="character" w:customStyle="1" w:styleId="Heading6Char">
    <w:name w:val="Heading 6 Char"/>
    <w:basedOn w:val="DefaultParagraphFont"/>
    <w:link w:val="Heading6"/>
    <w:rsid w:val="008437CB"/>
    <w:rPr>
      <w:rFonts w:ascii="Arial" w:eastAsia="Times New Roman" w:hAnsi="Arial" w:cs="Arial"/>
      <w:b/>
      <w:bCs/>
      <w:sz w:val="24"/>
      <w:szCs w:val="24"/>
      <w:lang w:eastAsia="lv-LV"/>
    </w:rPr>
  </w:style>
  <w:style w:type="character" w:customStyle="1" w:styleId="Heading7Char">
    <w:name w:val="Heading 7 Char"/>
    <w:basedOn w:val="DefaultParagraphFont"/>
    <w:link w:val="Heading7"/>
    <w:rsid w:val="008437CB"/>
    <w:rPr>
      <w:rFonts w:ascii="Arial" w:eastAsia="Times New Roman" w:hAnsi="Arial" w:cs="Arial"/>
      <w:snapToGrid w:val="0"/>
      <w:sz w:val="24"/>
      <w:szCs w:val="24"/>
      <w:lang w:eastAsia="lv-LV"/>
    </w:rPr>
  </w:style>
  <w:style w:type="character" w:customStyle="1" w:styleId="Heading8Char">
    <w:name w:val="Heading 8 Char"/>
    <w:basedOn w:val="DefaultParagraphFont"/>
    <w:link w:val="Heading8"/>
    <w:rsid w:val="008437CB"/>
    <w:rPr>
      <w:rFonts w:ascii="Arial" w:eastAsia="Times New Roman" w:hAnsi="Arial" w:cs="Arial"/>
      <w:i/>
      <w:iCs/>
      <w:snapToGrid w:val="0"/>
      <w:sz w:val="24"/>
      <w:szCs w:val="24"/>
      <w:lang w:eastAsia="lv-LV"/>
    </w:rPr>
  </w:style>
  <w:style w:type="character" w:customStyle="1" w:styleId="Heading9Char">
    <w:name w:val="Heading 9 Char"/>
    <w:basedOn w:val="DefaultParagraphFont"/>
    <w:link w:val="Heading9"/>
    <w:rsid w:val="008437CB"/>
    <w:rPr>
      <w:rFonts w:ascii="Arial" w:eastAsia="Times New Roman" w:hAnsi="Arial" w:cs="Arial"/>
      <w:snapToGrid w:val="0"/>
      <w:sz w:val="20"/>
      <w:lang w:eastAsia="lv-LV"/>
    </w:rPr>
  </w:style>
  <w:style w:type="paragraph" w:styleId="Header">
    <w:name w:val="header"/>
    <w:basedOn w:val="Normal"/>
    <w:link w:val="HeaderChar"/>
    <w:uiPriority w:val="99"/>
    <w:unhideWhenUsed/>
    <w:rsid w:val="00003CF9"/>
    <w:pPr>
      <w:tabs>
        <w:tab w:val="center" w:pos="4153"/>
        <w:tab w:val="right" w:pos="8306"/>
      </w:tabs>
    </w:pPr>
  </w:style>
  <w:style w:type="character" w:customStyle="1" w:styleId="HeaderChar">
    <w:name w:val="Header Char"/>
    <w:basedOn w:val="DefaultParagraphFont"/>
    <w:link w:val="Header"/>
    <w:uiPriority w:val="99"/>
    <w:rsid w:val="00003C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3CF9"/>
    <w:pPr>
      <w:tabs>
        <w:tab w:val="center" w:pos="4153"/>
        <w:tab w:val="right" w:pos="8306"/>
      </w:tabs>
    </w:pPr>
  </w:style>
  <w:style w:type="character" w:customStyle="1" w:styleId="FooterChar">
    <w:name w:val="Footer Char"/>
    <w:basedOn w:val="DefaultParagraphFont"/>
    <w:link w:val="Footer"/>
    <w:uiPriority w:val="99"/>
    <w:rsid w:val="00003C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2279">
      <w:bodyDiv w:val="1"/>
      <w:marLeft w:val="0"/>
      <w:marRight w:val="0"/>
      <w:marTop w:val="0"/>
      <w:marBottom w:val="0"/>
      <w:divBdr>
        <w:top w:val="none" w:sz="0" w:space="0" w:color="auto"/>
        <w:left w:val="none" w:sz="0" w:space="0" w:color="auto"/>
        <w:bottom w:val="none" w:sz="0" w:space="0" w:color="auto"/>
        <w:right w:val="none" w:sz="0" w:space="0" w:color="auto"/>
      </w:divBdr>
    </w:div>
    <w:div w:id="12361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8964</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2017-06-20T05:35:00Z</dcterms:created>
  <dcterms:modified xsi:type="dcterms:W3CDTF">2017-07-04T06:37:00Z</dcterms:modified>
</cp:coreProperties>
</file>