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2BD" w:rsidRDefault="00C00EE7">
      <w:pPr>
        <w:spacing w:after="0" w:line="240" w:lineRule="auto"/>
        <w:ind w:right="-1"/>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Pr>
          <w:rFonts w:ascii="Times New Roman" w:eastAsia="Calibri" w:hAnsi="Times New Roman" w:cs="Times New Roman"/>
          <w:sz w:val="24"/>
          <w:szCs w:val="24"/>
        </w:rPr>
        <w:t>Nr.</w:t>
      </w:r>
      <w:r w:rsidR="00D77B26">
        <w:rPr>
          <w:rFonts w:ascii="Times New Roman" w:eastAsia="Calibri" w:hAnsi="Times New Roman" w:cs="Times New Roman"/>
          <w:sz w:val="24"/>
          <w:szCs w:val="24"/>
        </w:rPr>
        <w:t xml:space="preserve"> SKUS 601/18</w:t>
      </w:r>
    </w:p>
    <w:p w:rsidR="006672BD" w:rsidRDefault="00C00EE7">
      <w:pPr>
        <w:spacing w:after="0" w:line="240" w:lineRule="auto"/>
        <w:jc w:val="center"/>
        <w:rPr>
          <w:rFonts w:ascii="Times New Roman" w:eastAsia="Times New Roman" w:hAnsi="Times New Roman" w:cs="Times New Roman"/>
          <w:bCs/>
          <w:i/>
          <w:sz w:val="24"/>
          <w:szCs w:val="24"/>
          <w:lang w:eastAsia="lv-LV"/>
        </w:rPr>
      </w:pPr>
      <w:r>
        <w:rPr>
          <w:rFonts w:ascii="Times New Roman" w:eastAsia="Calibri" w:hAnsi="Times New Roman" w:cs="Times New Roman"/>
          <w:i/>
          <w:sz w:val="24"/>
          <w:szCs w:val="24"/>
        </w:rPr>
        <w:t xml:space="preserve">par </w:t>
      </w:r>
      <w:proofErr w:type="spellStart"/>
      <w:r>
        <w:rPr>
          <w:rFonts w:ascii="Times New Roman" w:eastAsia="Calibri" w:hAnsi="Times New Roman" w:cs="Times New Roman"/>
          <w:i/>
          <w:sz w:val="24"/>
          <w:szCs w:val="24"/>
        </w:rPr>
        <w:t>Stryker</w:t>
      </w:r>
      <w:proofErr w:type="spellEnd"/>
      <w:r>
        <w:rPr>
          <w:rFonts w:ascii="Times New Roman" w:eastAsia="Calibri" w:hAnsi="Times New Roman" w:cs="Times New Roman"/>
          <w:i/>
          <w:sz w:val="24"/>
          <w:szCs w:val="24"/>
        </w:rPr>
        <w:t xml:space="preserve"> un </w:t>
      </w:r>
      <w:proofErr w:type="spellStart"/>
      <w:r>
        <w:rPr>
          <w:rFonts w:ascii="Times New Roman" w:eastAsia="Calibri" w:hAnsi="Times New Roman" w:cs="Times New Roman"/>
          <w:i/>
          <w:sz w:val="24"/>
          <w:szCs w:val="24"/>
        </w:rPr>
        <w:t>Becton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Dickinson</w:t>
      </w:r>
      <w:proofErr w:type="spellEnd"/>
      <w:r>
        <w:rPr>
          <w:rFonts w:ascii="Times New Roman" w:eastAsia="Calibri" w:hAnsi="Times New Roman" w:cs="Times New Roman"/>
          <w:i/>
          <w:sz w:val="24"/>
          <w:szCs w:val="24"/>
        </w:rPr>
        <w:t xml:space="preserve"> ražoto medicīnisko iekārtu tehniskajām apkopēm un servisa pakalpojumiem</w:t>
      </w:r>
    </w:p>
    <w:p w:rsidR="006672BD" w:rsidRDefault="006672BD">
      <w:pPr>
        <w:suppressAutoHyphens/>
        <w:spacing w:after="0" w:line="240" w:lineRule="auto"/>
        <w:jc w:val="center"/>
        <w:textAlignment w:val="baseline"/>
        <w:rPr>
          <w:rFonts w:ascii="Times New Roman" w:eastAsia="Calibri" w:hAnsi="Times New Roman" w:cs="Times New Roman"/>
          <w:b/>
          <w:sz w:val="23"/>
          <w:szCs w:val="23"/>
        </w:rPr>
      </w:pPr>
    </w:p>
    <w:p w:rsidR="006672BD" w:rsidRDefault="00C00EE7">
      <w:p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2018.gada </w:t>
      </w:r>
      <w:r w:rsidR="00D77B26">
        <w:rPr>
          <w:rFonts w:ascii="Times New Roman" w:eastAsia="Calibri" w:hAnsi="Times New Roman" w:cs="Times New Roman"/>
          <w:sz w:val="24"/>
          <w:szCs w:val="24"/>
        </w:rPr>
        <w:t>20.decembris</w:t>
      </w:r>
    </w:p>
    <w:p w:rsidR="006672BD" w:rsidRDefault="006672BD">
      <w:pPr>
        <w:spacing w:after="0" w:line="240" w:lineRule="auto"/>
        <w:ind w:right="-908"/>
        <w:jc w:val="both"/>
        <w:rPr>
          <w:rFonts w:ascii="Times New Roman" w:eastAsia="Calibri" w:hAnsi="Times New Roman" w:cs="Times New Roman"/>
          <w:b/>
          <w:sz w:val="24"/>
          <w:szCs w:val="24"/>
        </w:rPr>
      </w:pPr>
    </w:p>
    <w:p w:rsidR="006672BD" w:rsidRDefault="00C00EE7">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z w:val="24"/>
          <w:szCs w:val="24"/>
        </w:rPr>
        <w:t xml:space="preserve">, reģ.Nr.40003457109, kuru, </w:t>
      </w:r>
      <w:bookmarkStart w:id="0" w:name="_Hlk499645341"/>
      <w:r>
        <w:rPr>
          <w:rFonts w:ascii="Times New Roman" w:eastAsia="Calibri" w:hAnsi="Times New Roman" w:cs="Times New Roman"/>
          <w:sz w:val="24"/>
          <w:szCs w:val="24"/>
        </w:rPr>
        <w:t xml:space="preserve">saskaņā ar statūtiem </w:t>
      </w:r>
      <w:bookmarkEnd w:id="0"/>
      <w:r>
        <w:rPr>
          <w:rFonts w:ascii="Times New Roman" w:eastAsia="Calibri" w:hAnsi="Times New Roman" w:cs="Times New Roman"/>
          <w:sz w:val="24"/>
          <w:szCs w:val="24"/>
        </w:rPr>
        <w:t>un 13.06.2018. valdes lēmumu Nr.62 (protokols Nr.23 p.1) “Par pilnvarojuma (</w:t>
      </w:r>
      <w:proofErr w:type="spellStart"/>
      <w:r>
        <w:rPr>
          <w:rFonts w:ascii="Times New Roman" w:eastAsia="Calibri" w:hAnsi="Times New Roman" w:cs="Times New Roman"/>
          <w:sz w:val="24"/>
          <w:szCs w:val="24"/>
        </w:rPr>
        <w:t>paraksttiesību</w:t>
      </w:r>
      <w:proofErr w:type="spellEnd"/>
      <w:r>
        <w:rPr>
          <w:rFonts w:ascii="Times New Roman" w:eastAsia="Calibri" w:hAnsi="Times New Roman" w:cs="Times New Roman"/>
          <w:sz w:val="24"/>
          <w:szCs w:val="24"/>
        </w:rPr>
        <w:t xml:space="preserve">) piešķiršanu” pārstāv valdes priekšsēdētāja </w:t>
      </w:r>
      <w:r>
        <w:rPr>
          <w:rFonts w:ascii="Times New Roman" w:eastAsia="Calibri" w:hAnsi="Times New Roman" w:cs="Times New Roman"/>
          <w:b/>
          <w:bCs/>
          <w:sz w:val="24"/>
          <w:szCs w:val="24"/>
        </w:rPr>
        <w:t>Ilze Kreicberga</w:t>
      </w:r>
      <w:r>
        <w:rPr>
          <w:rFonts w:ascii="Times New Roman" w:eastAsia="Calibri" w:hAnsi="Times New Roman" w:cs="Times New Roman"/>
          <w:sz w:val="24"/>
          <w:szCs w:val="24"/>
        </w:rPr>
        <w:t>,</w:t>
      </w:r>
      <w:r>
        <w:rPr>
          <w:rFonts w:ascii="Times New Roman" w:eastAsia="Calibri" w:hAnsi="Times New Roman" w:cs="Calibri"/>
          <w:sz w:val="24"/>
          <w:szCs w:val="24"/>
        </w:rPr>
        <w:t xml:space="preserve"> (turpmāk - Pasūtītājs) no vienas puses</w:t>
      </w:r>
      <w:r>
        <w:rPr>
          <w:rFonts w:ascii="Times New Roman" w:eastAsia="Times New Roman" w:hAnsi="Times New Roman" w:cs="Calibri"/>
          <w:sz w:val="24"/>
          <w:szCs w:val="24"/>
        </w:rPr>
        <w:t xml:space="preserve">, </w:t>
      </w:r>
      <w:r>
        <w:rPr>
          <w:rFonts w:ascii="Times New Roman" w:eastAsia="Times New Roman" w:hAnsi="Times New Roman" w:cs="Times New Roman"/>
          <w:sz w:val="24"/>
          <w:szCs w:val="24"/>
        </w:rPr>
        <w:t>un</w:t>
      </w:r>
    </w:p>
    <w:p w:rsidR="006672BD" w:rsidRDefault="00C00EE7">
      <w:pPr>
        <w:spacing w:after="0" w:line="240" w:lineRule="auto"/>
        <w:ind w:right="-143"/>
        <w:jc w:val="both"/>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Interlux</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reģistrācijas Nr. 40003793189, tās valdes priekšsēdētāja Naura </w:t>
      </w:r>
      <w:proofErr w:type="spellStart"/>
      <w:r>
        <w:rPr>
          <w:rFonts w:ascii="Times New Roman" w:eastAsia="Times New Roman" w:hAnsi="Times New Roman" w:cs="Times New Roman"/>
          <w:sz w:val="24"/>
          <w:szCs w:val="24"/>
        </w:rPr>
        <w:t>Sedlera</w:t>
      </w:r>
      <w:proofErr w:type="spellEnd"/>
      <w:r>
        <w:rPr>
          <w:rFonts w:ascii="Times New Roman" w:eastAsia="Times New Roman" w:hAnsi="Times New Roman" w:cs="Times New Roman"/>
          <w:sz w:val="24"/>
          <w:szCs w:val="24"/>
        </w:rPr>
        <w:t xml:space="preserve"> personā, kurš rīkojas uz statūtu pamata (turpmāk – Izpildītājs) no otras puses (abi kopā – Puses), pamatojoties uz sarunu procedūrai „</w:t>
      </w:r>
      <w:proofErr w:type="spellStart"/>
      <w:r>
        <w:rPr>
          <w:rFonts w:ascii="Times New Roman" w:eastAsia="Times New Roman" w:hAnsi="Times New Roman" w:cs="Times New Roman"/>
          <w:sz w:val="24"/>
          <w:szCs w:val="24"/>
        </w:rPr>
        <w:t>Stryker</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Becton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Dickinson</w:t>
      </w:r>
      <w:proofErr w:type="spellEnd"/>
      <w:r>
        <w:rPr>
          <w:rFonts w:ascii="Times New Roman" w:eastAsia="Times New Roman" w:hAnsi="Times New Roman" w:cs="Times New Roman"/>
          <w:sz w:val="24"/>
          <w:szCs w:val="24"/>
        </w:rPr>
        <w:t xml:space="preserve"> ražoto medicīnisko iekārtu tehniskās apkopes un servisa pakalpojumi” (ID Nr. PSKUS 2018/114), iesniegto piedāvājumu, noslēdz šādu līgumu (turpmāk – Līgums):</w:t>
      </w:r>
    </w:p>
    <w:p w:rsidR="006672BD" w:rsidRDefault="006672BD">
      <w:pPr>
        <w:tabs>
          <w:tab w:val="left" w:pos="2160"/>
        </w:tabs>
        <w:spacing w:after="0" w:line="240" w:lineRule="auto"/>
        <w:ind w:right="-143"/>
        <w:jc w:val="both"/>
        <w:rPr>
          <w:rFonts w:ascii="Times New Roman" w:eastAsia="Times New Roman" w:hAnsi="Times New Roman" w:cs="Times New Roman"/>
          <w:bCs/>
          <w:sz w:val="24"/>
          <w:szCs w:val="24"/>
        </w:rPr>
      </w:pPr>
    </w:p>
    <w:p w:rsidR="006672BD" w:rsidRDefault="00C00EE7">
      <w:pPr>
        <w:numPr>
          <w:ilvl w:val="0"/>
          <w:numId w:val="1"/>
        </w:numPr>
        <w:spacing w:after="0" w:line="240" w:lineRule="auto"/>
        <w:ind w:right="-14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6672BD" w:rsidRDefault="00C00EE7" w:rsidP="007E5402">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priekšmets ir</w:t>
      </w:r>
      <w:r>
        <w:rPr>
          <w:rFonts w:ascii="Times New Roman" w:eastAsia="Times New Roman" w:hAnsi="Times New Roman" w:cs="Times New Roman"/>
          <w:bCs/>
          <w:color w:val="00B050"/>
          <w:sz w:val="24"/>
          <w:szCs w:val="24"/>
        </w:rPr>
        <w:t xml:space="preserve"> </w:t>
      </w:r>
      <w:proofErr w:type="spellStart"/>
      <w:r>
        <w:rPr>
          <w:rFonts w:ascii="Times New Roman" w:eastAsia="Calibri" w:hAnsi="Times New Roman" w:cs="Times New Roman"/>
          <w:sz w:val="24"/>
          <w:szCs w:val="24"/>
        </w:rPr>
        <w:t>Stryker</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Becton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Dickinson</w:t>
      </w:r>
      <w:proofErr w:type="spellEnd"/>
      <w:r>
        <w:rPr>
          <w:rFonts w:eastAsia="Calibri" w:cs="Times New Roman"/>
        </w:rPr>
        <w:t xml:space="preserve"> </w:t>
      </w:r>
      <w:r>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Pr>
          <w:rFonts w:ascii="Times New Roman" w:eastAsia="Calibri" w:hAnsi="Times New Roman" w:cs="Times New Roman"/>
          <w:i/>
          <w:sz w:val="24"/>
          <w:szCs w:val="24"/>
        </w:rPr>
        <w:t>.</w:t>
      </w:r>
    </w:p>
    <w:p w:rsidR="006672BD" w:rsidRDefault="00C00EE7" w:rsidP="007E5402">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6672BD" w:rsidRDefault="00C00EE7">
      <w:pPr>
        <w:spacing w:after="0" w:line="240" w:lineRule="auto"/>
        <w:ind w:left="562"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672BD" w:rsidRDefault="00C00EE7">
      <w:pPr>
        <w:numPr>
          <w:ilvl w:val="0"/>
          <w:numId w:val="1"/>
        </w:numPr>
        <w:spacing w:after="0" w:line="240" w:lineRule="auto"/>
        <w:ind w:right="-14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 xml:space="preserve">40 000.00 </w:t>
      </w:r>
      <w:r>
        <w:rPr>
          <w:rFonts w:ascii="Times New Roman" w:eastAsia="Calibri" w:hAnsi="Times New Roman" w:cs="Times New Roman"/>
          <w:b/>
          <w:bCs/>
          <w:sz w:val="24"/>
          <w:szCs w:val="24"/>
        </w:rPr>
        <w:t>EUR</w:t>
      </w:r>
      <w:r>
        <w:rPr>
          <w:rFonts w:ascii="Times New Roman" w:eastAsia="Calibri" w:hAnsi="Times New Roman" w:cs="Times New Roman"/>
          <w:sz w:val="24"/>
          <w:szCs w:val="24"/>
        </w:rPr>
        <w:t xml:space="preserve">  (četrdesmit tūkstoši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un 00 centi) bez pievienotās vērtības nodokļa (turpmāk – PVN). PVN tiek aprēķināts un maksāts papildus saskaņā ar spēkā esošo nodokļu likmi.</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6672BD" w:rsidRDefault="00C00EE7">
      <w:pPr>
        <w:numPr>
          <w:ilvl w:val="1"/>
          <w:numId w:val="1"/>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6672BD" w:rsidRDefault="00C00EE7">
      <w:pPr>
        <w:numPr>
          <w:ilvl w:val="1"/>
          <w:numId w:val="1"/>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6672BD" w:rsidRDefault="00C00EE7">
      <w:pPr>
        <w:numPr>
          <w:ilvl w:val="1"/>
          <w:numId w:val="1"/>
        </w:numPr>
        <w:spacing w:after="0" w:line="240" w:lineRule="auto"/>
        <w:ind w:left="567" w:right="-143" w:hanging="567"/>
        <w:jc w:val="both"/>
      </w:pPr>
      <w:r>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Pr>
            <w:rStyle w:val="ListLabel15"/>
          </w:rPr>
          <w:t>rekini@stradini.lv</w:t>
        </w:r>
      </w:hyperlink>
      <w:r>
        <w:rPr>
          <w:rFonts w:ascii="Times New Roman" w:eastAsia="Calibri" w:hAnsi="Times New Roman" w:cs="Times New Roman"/>
          <w:sz w:val="24"/>
          <w:szCs w:val="24"/>
        </w:rPr>
        <w:t>.</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6672BD" w:rsidRDefault="006672BD">
      <w:pPr>
        <w:spacing w:after="0" w:line="240" w:lineRule="auto"/>
        <w:ind w:left="562" w:right="-143"/>
        <w:jc w:val="both"/>
        <w:rPr>
          <w:rFonts w:ascii="Times New Roman" w:eastAsia="Calibri" w:hAnsi="Times New Roman" w:cs="Times New Roman"/>
          <w:sz w:val="24"/>
          <w:szCs w:val="24"/>
        </w:rPr>
      </w:pPr>
    </w:p>
    <w:p w:rsidR="006672BD" w:rsidRDefault="006672BD">
      <w:pPr>
        <w:spacing w:after="0" w:line="240" w:lineRule="auto"/>
        <w:ind w:left="562" w:right="-143"/>
        <w:jc w:val="both"/>
        <w:rPr>
          <w:rFonts w:ascii="Times New Roman" w:eastAsia="Calibri" w:hAnsi="Times New Roman" w:cs="Times New Roman"/>
          <w:sz w:val="24"/>
          <w:szCs w:val="24"/>
        </w:rPr>
      </w:pPr>
    </w:p>
    <w:p w:rsidR="006672BD" w:rsidRDefault="00C00EE7">
      <w:pPr>
        <w:numPr>
          <w:ilvl w:val="0"/>
          <w:numId w:val="1"/>
        </w:numPr>
        <w:spacing w:after="0" w:line="254" w:lineRule="auto"/>
        <w:ind w:right="-143"/>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Līgumā lietotie termini</w:t>
      </w:r>
    </w:p>
    <w:p w:rsidR="006672BD" w:rsidRDefault="00C00EE7">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Šajā Līgumā lietotie termini un to nozīme</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Pr>
          <w:rFonts w:ascii="Times New Roman" w:eastAsia="Times New Roman" w:hAnsi="Times New Roman" w:cs="Times New Roman"/>
          <w:b/>
          <w:bCs/>
          <w:color w:val="000000"/>
          <w:sz w:val="24"/>
          <w:szCs w:val="24"/>
          <w:lang w:eastAsia="lv-LV"/>
        </w:rPr>
        <w:lastRenderedPageBreak/>
        <w:t>Apkope</w:t>
      </w:r>
      <w:r>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Pr>
          <w:rFonts w:ascii="Times New Roman" w:eastAsia="Times New Roman" w:hAnsi="Times New Roman" w:cs="Times New Roman"/>
          <w:bCs/>
          <w:sz w:val="24"/>
          <w:szCs w:val="24"/>
          <w:lang w:eastAsia="lv-LV"/>
        </w:rPr>
        <w:t>;</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pakalpojums</w:t>
      </w:r>
      <w:r>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6672BD" w:rsidRDefault="00C00EE7">
      <w:pPr>
        <w:numPr>
          <w:ilvl w:val="2"/>
          <w:numId w:val="1"/>
        </w:numPr>
        <w:tabs>
          <w:tab w:val="left" w:pos="1276"/>
        </w:tabs>
        <w:spacing w:after="0" w:line="240" w:lineRule="auto"/>
        <w:ind w:left="1276" w:right="-143" w:hanging="709"/>
        <w:jc w:val="both"/>
      </w:pPr>
      <w:r>
        <w:rPr>
          <w:rFonts w:ascii="Times New Roman" w:eastAsia="Times New Roman" w:hAnsi="Times New Roman" w:cs="Times New Roman"/>
          <w:b/>
          <w:bCs/>
          <w:sz w:val="24"/>
          <w:szCs w:val="24"/>
          <w:lang w:eastAsia="lv-LV"/>
        </w:rPr>
        <w:t xml:space="preserve">Servisa pieteikums </w:t>
      </w:r>
      <w:r>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0B341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ar e-pasta palīdzību:</w:t>
      </w:r>
      <w:r>
        <w:rPr>
          <w:rFonts w:ascii="Times New Roman" w:eastAsia="Calibri" w:hAnsi="Times New Roman" w:cs="Times New Roman"/>
          <w:bCs/>
          <w:sz w:val="24"/>
          <w:szCs w:val="24"/>
          <w:lang w:eastAsia="lv-LV"/>
        </w:rPr>
        <w:t xml:space="preserve"> </w:t>
      </w:r>
      <w:hyperlink r:id="rId8">
        <w:r w:rsidR="000B341C">
          <w:rPr>
            <w:rStyle w:val="InternetLink"/>
            <w:rFonts w:ascii="Times New Roman" w:eastAsia="Calibri" w:hAnsi="Times New Roman" w:cs="Times New Roman"/>
            <w:bCs/>
            <w:sz w:val="24"/>
            <w:szCs w:val="24"/>
            <w:lang w:eastAsia="lv-LV"/>
          </w:rPr>
          <w:t>(..)</w:t>
        </w:r>
      </w:hyperlink>
      <w:hyperlink>
        <w:r>
          <w:rPr>
            <w:rFonts w:ascii="Times New Roman" w:eastAsia="Calibri" w:hAnsi="Times New Roman" w:cs="Times New Roman"/>
            <w:bCs/>
            <w:sz w:val="24"/>
            <w:szCs w:val="24"/>
            <w:lang w:eastAsia="lv-LV"/>
          </w:rPr>
          <w:t xml:space="preserve"> .</w:t>
        </w:r>
      </w:hyperlink>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Remontdarbi </w:t>
      </w:r>
      <w:r>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akts</w:t>
      </w:r>
      <w:r>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Pr>
          <w:rFonts w:ascii="Times New Roman" w:eastAsia="Times New Roman" w:hAnsi="Times New Roman" w:cs="Times New Roman"/>
          <w:bCs/>
          <w:color w:val="000000"/>
          <w:sz w:val="24"/>
          <w:szCs w:val="24"/>
          <w:lang w:eastAsia="lv-LV"/>
        </w:rPr>
        <w:t xml:space="preserve">Funkcionālo un elektrodrošības pārbaužu protokolus </w:t>
      </w:r>
      <w:bookmarkEnd w:id="2"/>
      <w:r>
        <w:rPr>
          <w:rFonts w:ascii="Times New Roman" w:eastAsia="Times New Roman" w:hAnsi="Times New Roman" w:cs="Times New Roman"/>
          <w:bCs/>
          <w:sz w:val="24"/>
          <w:szCs w:val="24"/>
          <w:lang w:eastAsia="lv-LV"/>
        </w:rPr>
        <w:t>jāsagatavo atbilstoši 2017. gada 28. novembra Ministru kabineta noteikumu Nr.689 170.punkta un tā apakšpunktu prasībām;</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3" w:name="_Hlk511286277"/>
      <w:r>
        <w:rPr>
          <w:rFonts w:ascii="Times New Roman" w:eastAsia="Times New Roman" w:hAnsi="Times New Roman" w:cs="Times New Roman"/>
          <w:b/>
          <w:bCs/>
          <w:sz w:val="24"/>
          <w:szCs w:val="24"/>
          <w:lang w:eastAsia="lv-LV"/>
        </w:rPr>
        <w:t>Reaģēšanas laiks</w:t>
      </w:r>
      <w:r>
        <w:rPr>
          <w:rFonts w:ascii="Times New Roman" w:eastAsia="Times New Roman" w:hAnsi="Times New Roman" w:cs="Times New Roman"/>
          <w:bCs/>
          <w:sz w:val="24"/>
          <w:szCs w:val="24"/>
          <w:lang w:eastAsia="lv-LV"/>
        </w:rPr>
        <w:t xml:space="preserve"> – servisa pakalpojumam darba dienās 4 (četru) darba stundu laikā</w:t>
      </w:r>
      <w:bookmarkEnd w:id="3"/>
      <w:r>
        <w:rPr>
          <w:rFonts w:ascii="Times New Roman" w:eastAsia="Times New Roman" w:hAnsi="Times New Roman" w:cs="Times New Roman"/>
          <w:bCs/>
          <w:sz w:val="24"/>
          <w:szCs w:val="24"/>
          <w:lang w:eastAsia="lv-LV"/>
        </w:rPr>
        <w:t xml:space="preserve">; </w:t>
      </w:r>
    </w:p>
    <w:p w:rsidR="006672BD" w:rsidRDefault="006672BD">
      <w:pPr>
        <w:spacing w:after="0" w:line="240" w:lineRule="auto"/>
        <w:ind w:left="1134" w:right="-143"/>
        <w:jc w:val="both"/>
        <w:rPr>
          <w:rFonts w:ascii="Times New Roman" w:eastAsia="Times New Roman" w:hAnsi="Times New Roman" w:cs="Times New Roman"/>
          <w:bCs/>
          <w:sz w:val="24"/>
          <w:szCs w:val="24"/>
          <w:lang w:eastAsia="lv-LV"/>
        </w:rPr>
      </w:pPr>
    </w:p>
    <w:p w:rsidR="006672BD" w:rsidRDefault="00C00EE7">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kvalitāte</w:t>
      </w:r>
    </w:p>
    <w:p w:rsidR="006672BD" w:rsidRDefault="00C00EE7">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Apkopju un Remontdarbu kvalitātei ir jāatbilst ražotāja noteiktajam ierīču apkopes reglamentam un periodiskumam.</w:t>
      </w:r>
    </w:p>
    <w:p w:rsidR="006672BD" w:rsidRDefault="00C00EE7">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Par Apkopju kvalitātes atbilstību ražotāja noteiktajam ierīču apkopes reglamentam un periodiskumam atbild Izpildītājs.</w:t>
      </w:r>
    </w:p>
    <w:p w:rsidR="006672BD" w:rsidRDefault="00C00EE7">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6672BD" w:rsidRDefault="00C00EE7">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6672BD" w:rsidRDefault="006672BD">
      <w:pPr>
        <w:spacing w:after="0" w:line="240" w:lineRule="auto"/>
        <w:ind w:left="720" w:right="-143"/>
        <w:jc w:val="both"/>
        <w:rPr>
          <w:rFonts w:ascii="Times New Roman" w:eastAsia="Times New Roman" w:hAnsi="Times New Roman" w:cs="Times New Roman"/>
          <w:b/>
          <w:bCs/>
          <w:sz w:val="24"/>
          <w:szCs w:val="24"/>
          <w:lang w:eastAsia="lv-LV"/>
        </w:rPr>
      </w:pPr>
    </w:p>
    <w:p w:rsidR="006672BD" w:rsidRDefault="00C00EE7">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Līguma darbības termiņš un spēkā esamība</w:t>
      </w:r>
    </w:p>
    <w:p w:rsidR="006672BD" w:rsidRDefault="00C00EE7">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Līgums stājas spēkā tā abpusējas parakstīšanas brīdī un ir spēkā līdz īsākajam no šādiem termiņiem:</w:t>
      </w:r>
    </w:p>
    <w:p w:rsidR="006672BD" w:rsidRDefault="00C00EE7">
      <w:pPr>
        <w:numPr>
          <w:ilvl w:val="2"/>
          <w:numId w:val="1"/>
        </w:numPr>
        <w:tabs>
          <w:tab w:val="left" w:pos="1276"/>
        </w:tabs>
        <w:spacing w:after="0" w:line="240" w:lineRule="auto"/>
        <w:ind w:left="1134" w:right="-14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Līguma 2.1.punktā noteiktās summas izlietojumam;</w:t>
      </w:r>
    </w:p>
    <w:p w:rsidR="006672BD" w:rsidRDefault="00C00EE7">
      <w:pPr>
        <w:numPr>
          <w:ilvl w:val="2"/>
          <w:numId w:val="1"/>
        </w:numPr>
        <w:tabs>
          <w:tab w:val="left" w:pos="1276"/>
        </w:tabs>
        <w:spacing w:after="0" w:line="240" w:lineRule="auto"/>
        <w:ind w:left="1134" w:right="-14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 (četrdesmit astoņi) mēneši no Līguma spēkā stāšanās dienas.</w:t>
      </w:r>
    </w:p>
    <w:p w:rsidR="006672BD" w:rsidRDefault="00C00EE7">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bookmarkStart w:id="4" w:name="_Hlk487718665"/>
      <w:r>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4"/>
      <w:r>
        <w:rPr>
          <w:rFonts w:ascii="Times New Roman" w:eastAsia="Times New Roman" w:hAnsi="Times New Roman" w:cs="Times New Roman"/>
          <w:sz w:val="24"/>
          <w:szCs w:val="24"/>
        </w:rPr>
        <w:t>.</w:t>
      </w:r>
    </w:p>
    <w:p w:rsidR="006672BD" w:rsidRDefault="00C00EE7">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vairāk kā 10 (desmit) darba dienas kavē pieteikto Remontdarbu vai Apkopju termiņu; </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atkārtoti veicis nekvalitatīvus Remontdarbus;</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Izpildītājs Pasūtītājam nodarījis zaudējumus;</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notikusi Izpildītāja likvidācija; </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zaudējis ražotāja autorizāciju;</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672BD" w:rsidRDefault="00C00EE7">
      <w:pPr>
        <w:numPr>
          <w:ilvl w:val="2"/>
          <w:numId w:val="1"/>
        </w:numPr>
        <w:tabs>
          <w:tab w:val="left" w:pos="1276"/>
        </w:tabs>
        <w:spacing w:after="0" w:line="240" w:lineRule="auto"/>
        <w:ind w:left="1276" w:right="-143" w:hanging="709"/>
        <w:jc w:val="both"/>
        <w:rPr>
          <w:rFonts w:ascii="Times New Roman" w:eastAsia="Calibri" w:hAnsi="Times New Roman" w:cs="Times New Roman"/>
          <w:sz w:val="24"/>
          <w:szCs w:val="24"/>
        </w:rPr>
      </w:pPr>
      <w:r>
        <w:rPr>
          <w:rFonts w:ascii="Times New Roman" w:eastAsia="Times New Roman" w:hAnsi="Times New Roman" w:cs="Times New Roman"/>
          <w:sz w:val="24"/>
          <w:szCs w:val="24"/>
        </w:rPr>
        <w:t>iestājušies apstākļi, kas apgrūtina vai padara neiespējamu kādu no Līgumā noteikto saistību izpildi (t.sk. zaudēta ražotāja autorizācija), rakstiski par to informējot Pasūtītāju</w:t>
      </w:r>
      <w:r>
        <w:rPr>
          <w:rFonts w:ascii="Times New Roman" w:eastAsia="Calibri" w:hAnsi="Times New Roman" w:cs="Times New Roman"/>
          <w:sz w:val="24"/>
          <w:szCs w:val="24"/>
        </w:rPr>
        <w:t>.</w:t>
      </w:r>
    </w:p>
    <w:p w:rsidR="006672BD" w:rsidRDefault="00C00EE7">
      <w:pPr>
        <w:numPr>
          <w:ilvl w:val="1"/>
          <w:numId w:val="1"/>
        </w:numPr>
        <w:spacing w:after="0" w:line="240" w:lineRule="auto"/>
        <w:ind w:right="-143"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6672BD" w:rsidRDefault="006672BD">
      <w:pPr>
        <w:tabs>
          <w:tab w:val="left" w:pos="2160"/>
        </w:tabs>
        <w:spacing w:after="0" w:line="240" w:lineRule="auto"/>
        <w:ind w:right="-143"/>
        <w:jc w:val="both"/>
        <w:rPr>
          <w:rFonts w:ascii="Times New Roman" w:eastAsia="Times New Roman" w:hAnsi="Times New Roman" w:cs="Times New Roman"/>
          <w:bCs/>
          <w:sz w:val="24"/>
          <w:szCs w:val="24"/>
        </w:rPr>
      </w:pPr>
    </w:p>
    <w:p w:rsidR="006672BD" w:rsidRDefault="00C00EE7">
      <w:pPr>
        <w:numPr>
          <w:ilvl w:val="0"/>
          <w:numId w:val="1"/>
        </w:numPr>
        <w:spacing w:after="0" w:line="240" w:lineRule="auto"/>
        <w:ind w:right="-14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6672BD" w:rsidRDefault="00C00EE7">
      <w:pPr>
        <w:numPr>
          <w:ilvl w:val="1"/>
          <w:numId w:val="1"/>
        </w:numPr>
        <w:spacing w:after="0" w:line="240" w:lineRule="auto"/>
        <w:ind w:right="-1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pienākumi:</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 jebkuru darbu veikšanas laiku ar līgumā norādīto pilnvaroto personu.</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prasībām atbilstošus un pienācīgas kvalitātes Apkopes un Remontdarbus, saskaņā ar Līguma noteikumiem;</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visiem darbiem sastādīt un abpusēji parakstīt veikto darbu aktu (Servisa akts);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reaģē uz Pasūtītāja Servisa pieteikumu 4 darba stundu laikā darba dienās;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rezerves daļu maiņu, detaļu piegādi un to izmaksas Izpildītājs saskaņo rakstiski ar Pasūtītāju;</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sastādīt Pieņemšanas – nodošanas aktu par Iekārtas aizvešanu un pieņemšanas – nodošanas aktu par Iekārtas atgriešanu Pasūtītājam gadījumos, kad Iekārtu </w:t>
      </w:r>
      <w:r>
        <w:rPr>
          <w:rFonts w:ascii="Times New Roman" w:eastAsia="Times New Roman" w:hAnsi="Times New Roman" w:cs="Times New Roman"/>
          <w:sz w:val="24"/>
          <w:szCs w:val="24"/>
        </w:rPr>
        <w:lastRenderedPageBreak/>
        <w:t>nepieciešams nosūtīt Remontdarbu vai Apkopes veikšanai ārpus Pasūtītāja teritorijas;</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6672BD" w:rsidRDefault="00C00EE7">
      <w:pPr>
        <w:numPr>
          <w:ilvl w:val="2"/>
          <w:numId w:val="1"/>
        </w:numPr>
        <w:tabs>
          <w:tab w:val="left"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ražotāja pilnvarojuma zaudēšanas gadījumā informēt par to Pasūtītāju.</w:t>
      </w:r>
    </w:p>
    <w:p w:rsidR="006672BD" w:rsidRDefault="00C00EE7">
      <w:pPr>
        <w:tabs>
          <w:tab w:val="left" w:pos="567"/>
        </w:tabs>
        <w:spacing w:after="0" w:line="240" w:lineRule="auto"/>
        <w:ind w:left="1276" w:right="-143"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Izpildītāja tiesības:</w:t>
      </w:r>
    </w:p>
    <w:p w:rsidR="006672BD" w:rsidRDefault="00C00EE7">
      <w:p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Pr>
          <w:rFonts w:ascii="Times New Roman" w:eastAsia="Times New Roman" w:hAnsi="Times New Roman" w:cs="Times New Roman"/>
          <w:sz w:val="24"/>
          <w:szCs w:val="24"/>
        </w:rPr>
        <w:tab/>
        <w:t>par kvalitatīvi veiktām Apkopēm un Remontdarbiem savlaicīgi saņemt Līgumā noteikto samaksu;</w:t>
      </w:r>
    </w:p>
    <w:p w:rsidR="006672BD" w:rsidRDefault="00C00EE7">
      <w:p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Pr>
          <w:rFonts w:ascii="Times New Roman" w:eastAsia="Times New Roman" w:hAnsi="Times New Roman" w:cs="Times New Roman"/>
          <w:sz w:val="24"/>
          <w:szCs w:val="24"/>
        </w:rPr>
        <w:tab/>
        <w:t>saņemt no Pasūtītāja saistību izpildei nepieciešamo informāciju un visas nepieciešamās piekļuves.</w:t>
      </w:r>
    </w:p>
    <w:p w:rsidR="006672BD" w:rsidRDefault="00C00EE7">
      <w:pPr>
        <w:tabs>
          <w:tab w:val="left" w:pos="567"/>
          <w:tab w:val="left" w:pos="993"/>
        </w:tabs>
        <w:spacing w:after="0" w:line="240" w:lineRule="auto"/>
        <w:ind w:left="142" w:right="-14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Pasūtītāja pienākumi:</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un saskaņot kvalitatīvi veikto Apkopju un Remontdarbu pieņemšana – nodošanas dokumentāciju;</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uzraudzīt Iekārtu lietošanas prasību izpildi;</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6672BD" w:rsidRDefault="00C00EE7">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pārbaudīt Izpildītāja sniegtā Pakalpojuma kvalitāti un atbilstību Līguma noteikumiem;</w:t>
      </w:r>
    </w:p>
    <w:p w:rsidR="006672BD" w:rsidRDefault="00C00EE7">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Līgumā noteiktajā kārtībā savlaicīgi samaksāt par pieņemto, Līguma prasībām atbilstošu un kvalitatīvi veikto Izpildītāja darbu.</w:t>
      </w:r>
      <w:r>
        <w:br w:type="page"/>
      </w:r>
    </w:p>
    <w:p w:rsidR="006672BD" w:rsidRDefault="00C00EE7">
      <w:pPr>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Pasūtītāja tiesības:</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Izpildītājam saistošus norādījumus attiecībā uz Līguma izpildi;</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 no Izpildītāja informāciju un paskaidrojumus par Līguma izpildes gaitu un citiem Līguma izpildes jautājumiem;</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izmaiņas iekārtu sarakstā šī Līguma kopējās summas ietvaros, informējot par to Izpildītāju;</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5.4.punktā noteiktajos gadījumos;</w:t>
      </w:r>
    </w:p>
    <w:p w:rsidR="006672BD" w:rsidRDefault="00C00EE7">
      <w:pPr>
        <w:numPr>
          <w:ilvl w:val="2"/>
          <w:numId w:val="2"/>
        </w:numPr>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un atlikt Līgumā paredzēto maksājumu ārējā normatīvajā aktā vai šajā Līgumā noteiktajos gadījumos.</w:t>
      </w:r>
    </w:p>
    <w:p w:rsidR="006672BD" w:rsidRDefault="00C00EE7">
      <w:pPr>
        <w:numPr>
          <w:ilvl w:val="1"/>
          <w:numId w:val="2"/>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cs="Times New Roman"/>
          <w:sz w:val="24"/>
          <w:szCs w:val="24"/>
        </w:rPr>
        <w:t>iekārtu ražotāja noteikto</w:t>
      </w:r>
      <w:r>
        <w:rPr>
          <w:rFonts w:ascii="Times New Roman" w:eastAsia="Calibri" w:hAnsi="Times New Roman" w:cs="Times New Roman"/>
          <w:sz w:val="24"/>
          <w:szCs w:val="24"/>
        </w:rPr>
        <w:t>.</w:t>
      </w:r>
    </w:p>
    <w:p w:rsidR="006672BD" w:rsidRDefault="006672BD">
      <w:pPr>
        <w:tabs>
          <w:tab w:val="left" w:pos="2160"/>
        </w:tabs>
        <w:spacing w:after="0" w:line="240" w:lineRule="auto"/>
        <w:ind w:right="-143"/>
        <w:jc w:val="both"/>
        <w:rPr>
          <w:rFonts w:ascii="Times New Roman" w:eastAsia="Times New Roman" w:hAnsi="Times New Roman" w:cs="Times New Roman"/>
          <w:bCs/>
          <w:sz w:val="24"/>
          <w:szCs w:val="24"/>
        </w:rPr>
      </w:pPr>
    </w:p>
    <w:p w:rsidR="006672BD" w:rsidRDefault="00C00EE7">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Pr>
          <w:rFonts w:ascii="Times New Roman" w:eastAsia="Calibri" w:hAnsi="Times New Roman" w:cs="Times New Roman"/>
          <w:sz w:val="24"/>
          <w:szCs w:val="24"/>
        </w:rPr>
        <w:t>vigilances</w:t>
      </w:r>
      <w:proofErr w:type="spellEnd"/>
      <w:r>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5" w:name="_Hlk511286416"/>
      <w:r>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Pr>
          <w:rFonts w:ascii="Times New Roman" w:eastAsia="Calibri" w:hAnsi="Times New Roman" w:cs="Times New Roman"/>
          <w:color w:val="000000"/>
          <w:sz w:val="24"/>
          <w:szCs w:val="24"/>
        </w:rPr>
        <w:t>līgumsods 10% (desmit procenti) apmērā no nokavēto darbu summas</w:t>
      </w:r>
      <w:bookmarkEnd w:id="5"/>
      <w:r>
        <w:rPr>
          <w:rFonts w:ascii="Times New Roman" w:eastAsia="Calibri" w:hAnsi="Times New Roman" w:cs="Times New Roman"/>
          <w:color w:val="000000"/>
          <w:sz w:val="24"/>
          <w:szCs w:val="24"/>
        </w:rPr>
        <w:t>.</w:t>
      </w:r>
    </w:p>
    <w:p w:rsidR="006672BD" w:rsidRDefault="00C00EE7">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6672BD" w:rsidRDefault="006672BD">
      <w:pPr>
        <w:spacing w:after="0" w:line="240" w:lineRule="auto"/>
        <w:ind w:left="567" w:right="-143"/>
        <w:jc w:val="both"/>
        <w:rPr>
          <w:rFonts w:ascii="Times New Roman" w:eastAsia="Calibri" w:hAnsi="Times New Roman" w:cs="Times New Roman"/>
          <w:sz w:val="24"/>
          <w:szCs w:val="24"/>
        </w:rPr>
      </w:pPr>
    </w:p>
    <w:p w:rsidR="006672BD" w:rsidRDefault="00C00EE7">
      <w:pPr>
        <w:numPr>
          <w:ilvl w:val="0"/>
          <w:numId w:val="3"/>
        </w:numPr>
        <w:spacing w:after="0" w:line="240" w:lineRule="auto"/>
        <w:ind w:right="-14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Personas datu aizsardzība</w:t>
      </w:r>
    </w:p>
    <w:p w:rsidR="006672BD" w:rsidRDefault="00C00EE7">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Puses vienojas par šādiem fizisko personas datu aizsardzības noteikumiem: </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Līguma ietvaros uzskatāms par Pasūtītāja datu apstrādes operatoru;</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6672BD" w:rsidRDefault="00C00EE7">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6672BD" w:rsidRDefault="00C00EE7">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aizsardzību pret fiziskās iedarbības radītu fizisko personu datu apdraudējumu;</w:t>
      </w:r>
    </w:p>
    <w:p w:rsidR="006672BD" w:rsidRDefault="00C00EE7">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Pr>
          <w:rFonts w:ascii="Times New Roman" w:eastAsia="Times New Roman" w:hAnsi="Times New Roman" w:cs="Times New Roman"/>
          <w:sz w:val="24"/>
          <w:szCs w:val="24"/>
          <w:lang w:eastAsia="lv-LV"/>
        </w:rPr>
        <w:t>kriptēšanu</w:t>
      </w:r>
      <w:proofErr w:type="spellEnd"/>
      <w:r>
        <w:rPr>
          <w:rFonts w:ascii="Times New Roman" w:eastAsia="Times New Roman" w:hAnsi="Times New Roman" w:cs="Times New Roman"/>
          <w:sz w:val="24"/>
          <w:szCs w:val="24"/>
          <w:lang w:eastAsia="lv-LV"/>
        </w:rPr>
        <w:t xml:space="preserve"> un citiem loģiskās aizsardzības līdzekļiem;</w:t>
      </w:r>
    </w:p>
    <w:p w:rsidR="006672BD" w:rsidRDefault="00C00EE7">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6672BD" w:rsidRDefault="00C00EE7">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6672BD" w:rsidRDefault="006672BD">
      <w:pPr>
        <w:spacing w:after="0" w:line="240" w:lineRule="auto"/>
        <w:ind w:left="1276" w:right="-143"/>
        <w:jc w:val="both"/>
        <w:rPr>
          <w:rFonts w:ascii="Times New Roman" w:eastAsia="Times New Roman" w:hAnsi="Times New Roman" w:cs="Times New Roman"/>
          <w:b/>
          <w:bCs/>
          <w:sz w:val="24"/>
          <w:szCs w:val="24"/>
        </w:rPr>
      </w:pPr>
    </w:p>
    <w:p w:rsidR="006672BD" w:rsidRDefault="00C00EE7">
      <w:pPr>
        <w:numPr>
          <w:ilvl w:val="0"/>
          <w:numId w:val="3"/>
        </w:numPr>
        <w:spacing w:after="0" w:line="240" w:lineRule="auto"/>
        <w:ind w:right="-14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6672BD" w:rsidRDefault="00C00EE7">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sz w:val="24"/>
          <w:szCs w:val="24"/>
        </w:rPr>
        <w:t>.</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lv-LV"/>
        </w:rPr>
        <w:lastRenderedPageBreak/>
        <w:t>Par nepārvaramas varas apstākli nevar tikt atzīts Izpildītāja un citu iesaistīto personu saistību neizpilde vai nesavlaicīga izpilde</w:t>
      </w:r>
      <w:r>
        <w:rPr>
          <w:rFonts w:ascii="Times New Roman" w:eastAsia="Calibri" w:hAnsi="Times New Roman" w:cs="Times New Roman"/>
          <w:sz w:val="24"/>
          <w:szCs w:val="24"/>
        </w:rPr>
        <w:t>.</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Times New Roman" w:hAnsi="Times New Roman" w:cs="Times New Roman"/>
          <w:iCs/>
          <w:kern w:val="2"/>
          <w:sz w:val="24"/>
          <w:szCs w:val="24"/>
          <w:lang w:eastAsia="lv-LV"/>
        </w:rPr>
        <w:t xml:space="preserve">Ar rakstisku vienošanos </w:t>
      </w:r>
      <w:r>
        <w:rPr>
          <w:rFonts w:ascii="Times New Roman" w:eastAsia="Times New Roman" w:hAnsi="Times New Roman" w:cs="Times New Roman"/>
          <w:bCs/>
          <w:iCs/>
          <w:kern w:val="2"/>
          <w:sz w:val="24"/>
          <w:szCs w:val="24"/>
          <w:lang w:eastAsia="lv-LV"/>
        </w:rPr>
        <w:t>Puses</w:t>
      </w:r>
      <w:r>
        <w:rPr>
          <w:rFonts w:ascii="Times New Roman" w:eastAsia="Times New Roman" w:hAnsi="Times New Roman" w:cs="Times New Roman"/>
          <w:iCs/>
          <w:kern w:val="2"/>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kern w:val="2"/>
          <w:sz w:val="24"/>
          <w:szCs w:val="24"/>
          <w:lang w:eastAsia="lv-LV"/>
        </w:rPr>
        <w:t>Puses</w:t>
      </w:r>
      <w:r>
        <w:rPr>
          <w:rFonts w:ascii="Times New Roman" w:eastAsia="Times New Roman" w:hAnsi="Times New Roman" w:cs="Times New Roman"/>
          <w:b/>
          <w:bCs/>
          <w:iCs/>
          <w:kern w:val="2"/>
          <w:sz w:val="24"/>
          <w:szCs w:val="24"/>
          <w:lang w:eastAsia="lv-LV"/>
        </w:rPr>
        <w:t xml:space="preserve"> </w:t>
      </w:r>
      <w:r>
        <w:rPr>
          <w:rFonts w:ascii="Times New Roman" w:eastAsia="Times New Roman" w:hAnsi="Times New Roman" w:cs="Times New Roman"/>
          <w:iCs/>
          <w:kern w:val="2"/>
          <w:sz w:val="24"/>
          <w:szCs w:val="24"/>
          <w:lang w:eastAsia="lv-LV"/>
        </w:rPr>
        <w:t>apņemas līgumsaistību termiņu pagarināt atbilstoši tam laika posmam, kas būs vienāds ar iepriekš minēto apstākļu izraisīto kavēšanos.</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Times New Roman" w:hAnsi="Times New Roman" w:cs="Times New Roman"/>
          <w:iCs/>
          <w:kern w:val="2"/>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kern w:val="2"/>
          <w:sz w:val="24"/>
          <w:szCs w:val="24"/>
          <w:lang w:eastAsia="lv-LV"/>
        </w:rPr>
        <w:t>Pusei</w:t>
      </w:r>
      <w:r>
        <w:rPr>
          <w:rFonts w:ascii="Times New Roman" w:eastAsia="Times New Roman" w:hAnsi="Times New Roman" w:cs="Times New Roman"/>
          <w:b/>
          <w:bCs/>
          <w:iCs/>
          <w:kern w:val="2"/>
          <w:sz w:val="24"/>
          <w:szCs w:val="24"/>
          <w:lang w:eastAsia="lv-LV"/>
        </w:rPr>
        <w:t xml:space="preserve"> </w:t>
      </w:r>
      <w:r>
        <w:rPr>
          <w:rFonts w:ascii="Times New Roman" w:eastAsia="Times New Roman" w:hAnsi="Times New Roman" w:cs="Times New Roman"/>
          <w:iCs/>
          <w:kern w:val="2"/>
          <w:sz w:val="24"/>
          <w:szCs w:val="24"/>
          <w:lang w:eastAsia="lv-LV"/>
        </w:rPr>
        <w:t>ir jāatdod otrai tas, ko tā izpildījusi vai par izpildīto jāatlīdzina.</w:t>
      </w:r>
    </w:p>
    <w:p w:rsidR="006672BD" w:rsidRDefault="00C00EE7">
      <w:pPr>
        <w:spacing w:after="0" w:line="240" w:lineRule="auto"/>
        <w:ind w:left="567" w:right="-14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6672BD" w:rsidRDefault="006672BD">
      <w:pPr>
        <w:spacing w:after="0" w:line="240" w:lineRule="auto"/>
        <w:ind w:left="567" w:right="-143"/>
        <w:jc w:val="both"/>
        <w:rPr>
          <w:rFonts w:ascii="Times New Roman" w:eastAsia="Calibri" w:hAnsi="Times New Roman" w:cs="Times New Roman"/>
          <w:sz w:val="24"/>
          <w:szCs w:val="24"/>
          <w:lang w:eastAsia="lv-LV"/>
        </w:rPr>
      </w:pPr>
    </w:p>
    <w:p w:rsidR="006672BD" w:rsidRDefault="00C00EE7">
      <w:pPr>
        <w:numPr>
          <w:ilvl w:val="0"/>
          <w:numId w:val="3"/>
        </w:numPr>
        <w:spacing w:after="0" w:line="240" w:lineRule="auto"/>
        <w:ind w:right="-14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6672BD" w:rsidRDefault="00C00EE7">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672BD" w:rsidRDefault="00C00EE7">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Jautājumos, kas nav tiešā veidā paredzēti Līgumā, Puses risina saskaņā ar spēkā esošajiem normatīvajiem aktiem.</w:t>
      </w:r>
    </w:p>
    <w:p w:rsidR="006672BD" w:rsidRDefault="006672BD">
      <w:pPr>
        <w:tabs>
          <w:tab w:val="left" w:pos="2160"/>
        </w:tabs>
        <w:spacing w:after="0" w:line="240" w:lineRule="auto"/>
        <w:ind w:right="-143"/>
        <w:jc w:val="both"/>
        <w:rPr>
          <w:rFonts w:ascii="Times New Roman" w:eastAsia="Times New Roman" w:hAnsi="Times New Roman" w:cs="Times New Roman"/>
          <w:bCs/>
          <w:sz w:val="24"/>
          <w:szCs w:val="24"/>
        </w:rPr>
      </w:pPr>
    </w:p>
    <w:p w:rsidR="006672BD" w:rsidRDefault="00C00EE7">
      <w:pPr>
        <w:numPr>
          <w:ilvl w:val="0"/>
          <w:numId w:val="3"/>
        </w:numPr>
        <w:spacing w:after="0" w:line="240" w:lineRule="auto"/>
        <w:ind w:right="-143"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w:t>
      </w:r>
      <w:r>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nav tiesīgas nodot savas tiesības un saistības, kas saistītas ar Līgumu un izriet no tā, trešajai personai.</w:t>
      </w:r>
    </w:p>
    <w:p w:rsidR="006672BD" w:rsidRDefault="00C00EE7">
      <w:pPr>
        <w:numPr>
          <w:ilvl w:val="1"/>
          <w:numId w:val="3"/>
        </w:numPr>
        <w:spacing w:after="0" w:line="240" w:lineRule="auto"/>
        <w:ind w:left="567" w:right="-14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Pušu kontaktpersonas:</w:t>
      </w:r>
    </w:p>
    <w:p w:rsidR="006672BD" w:rsidRPr="000B341C" w:rsidRDefault="00C00EE7" w:rsidP="000B341C">
      <w:pPr>
        <w:numPr>
          <w:ilvl w:val="2"/>
          <w:numId w:val="3"/>
        </w:numPr>
        <w:spacing w:after="0" w:line="240" w:lineRule="auto"/>
        <w:ind w:right="-14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Pasūtītāja kontaktpersonas:</w:t>
      </w:r>
      <w:r w:rsidR="000B34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672BD" w:rsidRDefault="00C00EE7">
      <w:pPr>
        <w:numPr>
          <w:ilvl w:val="2"/>
          <w:numId w:val="3"/>
        </w:numPr>
        <w:spacing w:after="0" w:line="240" w:lineRule="auto"/>
        <w:ind w:right="-143"/>
        <w:jc w:val="both"/>
      </w:pPr>
      <w:r>
        <w:rPr>
          <w:rFonts w:ascii="Times New Roman" w:eastAsia="Calibri" w:hAnsi="Times New Roman" w:cs="Times New Roman"/>
          <w:sz w:val="24"/>
          <w:szCs w:val="24"/>
        </w:rPr>
        <w:lastRenderedPageBreak/>
        <w:t xml:space="preserve">Izpildītāja kontaktpersona: </w:t>
      </w:r>
      <w:r w:rsidR="000B34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w:t>
      </w:r>
    </w:p>
    <w:p w:rsidR="006672BD" w:rsidRDefault="00C00EE7">
      <w:pPr>
        <w:numPr>
          <w:ilvl w:val="1"/>
          <w:numId w:val="3"/>
        </w:numPr>
        <w:spacing w:after="0" w:line="240" w:lineRule="auto"/>
        <w:ind w:left="567" w:right="-143"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Līgums sagatavots latviešu valodā, parakstīts divos oriģinālos eksemplāros uz 9 (deviņām) lapām, abi eksemplāri ir ar vienādu juridisko spēku. Viens no Līguma eksemplāriem </w:t>
      </w:r>
      <w:r>
        <w:rPr>
          <w:rFonts w:ascii="Times New Roman" w:eastAsia="Times New Roman" w:hAnsi="Times New Roman" w:cs="Times New Roman"/>
          <w:sz w:val="24"/>
          <w:szCs w:val="24"/>
        </w:rPr>
        <w:t>atrodas pie Pasūtītāja, bet otrs – pie Izpildītāja.</w:t>
      </w:r>
    </w:p>
    <w:p w:rsidR="006672BD" w:rsidRDefault="006672BD">
      <w:pPr>
        <w:spacing w:line="254" w:lineRule="auto"/>
        <w:ind w:right="-143"/>
        <w:rPr>
          <w:rFonts w:ascii="Calibri" w:eastAsia="Calibri" w:hAnsi="Calibri" w:cs="Times New Roman"/>
        </w:rPr>
      </w:pPr>
    </w:p>
    <w:p w:rsidR="006672BD" w:rsidRDefault="00C00EE7">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6672BD">
        <w:trPr>
          <w:trHeight w:val="103"/>
        </w:trPr>
        <w:tc>
          <w:tcPr>
            <w:tcW w:w="4607" w:type="dxa"/>
            <w:shd w:val="clear" w:color="auto" w:fill="auto"/>
          </w:tcPr>
          <w:p w:rsidR="006672BD" w:rsidRDefault="006672BD">
            <w:pPr>
              <w:spacing w:after="0" w:line="240" w:lineRule="auto"/>
              <w:ind w:right="-6"/>
              <w:jc w:val="both"/>
              <w:rPr>
                <w:rFonts w:ascii="Times New Roman" w:eastAsia="Times New Roman" w:hAnsi="Times New Roman" w:cs="Times New Roman"/>
                <w:b/>
                <w:bCs/>
                <w:sz w:val="24"/>
                <w:szCs w:val="24"/>
                <w:u w:val="single"/>
              </w:rPr>
            </w:pPr>
          </w:p>
          <w:p w:rsidR="006672BD" w:rsidRDefault="00C00EE7">
            <w:pPr>
              <w:spacing w:after="0" w:line="240" w:lineRule="auto"/>
              <w:ind w:right="-6"/>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6672BD" w:rsidRDefault="00C00EE7">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6672BD" w:rsidRDefault="00C00EE7">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6672BD" w:rsidRDefault="00C00EE7">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Times New Roman" w:hAnsi="Times New Roman" w:cs="Times New Roman"/>
                <w:bCs/>
                <w:sz w:val="24"/>
                <w:szCs w:val="24"/>
              </w:rPr>
              <w:t>LV74HABA0551027673367</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Times New Roman" w:hAnsi="Times New Roman" w:cs="Times New Roman"/>
                <w:bCs/>
                <w:sz w:val="24"/>
                <w:szCs w:val="24"/>
              </w:rPr>
              <w:t>HABALV22</w:t>
            </w:r>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6672BD" w:rsidRDefault="00C00EE7">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6672BD">
            <w:pPr>
              <w:spacing w:after="0" w:line="240" w:lineRule="auto"/>
              <w:ind w:right="-6"/>
              <w:jc w:val="both"/>
              <w:rPr>
                <w:rFonts w:ascii="Times New Roman" w:eastAsia="Times New Roman" w:hAnsi="Times New Roman" w:cs="Times New Roman"/>
                <w:b/>
                <w:bCs/>
                <w:sz w:val="24"/>
                <w:szCs w:val="24"/>
              </w:rPr>
            </w:pPr>
          </w:p>
        </w:tc>
        <w:tc>
          <w:tcPr>
            <w:tcW w:w="4637" w:type="dxa"/>
            <w:shd w:val="clear" w:color="auto" w:fill="auto"/>
          </w:tcPr>
          <w:p w:rsidR="006672BD" w:rsidRDefault="006672BD">
            <w:pPr>
              <w:spacing w:after="0" w:line="240" w:lineRule="auto"/>
              <w:ind w:right="-6"/>
              <w:jc w:val="both"/>
              <w:rPr>
                <w:rFonts w:ascii="Times New Roman" w:eastAsia="Times New Roman" w:hAnsi="Times New Roman" w:cs="Times New Roman"/>
                <w:b/>
                <w:bCs/>
                <w:sz w:val="24"/>
                <w:szCs w:val="24"/>
                <w:u w:val="single"/>
              </w:rPr>
            </w:pPr>
          </w:p>
          <w:p w:rsidR="006672BD" w:rsidRDefault="00C00EE7">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Interlux</w:t>
            </w:r>
            <w:proofErr w:type="spellEnd"/>
            <w:r>
              <w:rPr>
                <w:rFonts w:ascii="Times New Roman" w:eastAsia="Times New Roman" w:hAnsi="Times New Roman" w:cs="Times New Roman"/>
                <w:sz w:val="24"/>
                <w:szCs w:val="24"/>
              </w:rPr>
              <w:t>”</w:t>
            </w:r>
          </w:p>
          <w:p w:rsidR="006672BD" w:rsidRDefault="00C00EE7">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40003793189</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9, </w:t>
            </w:r>
            <w:proofErr w:type="spellStart"/>
            <w:r>
              <w:rPr>
                <w:rFonts w:ascii="Times New Roman" w:eastAsia="Times New Roman" w:hAnsi="Times New Roman" w:cs="Times New Roman"/>
                <w:sz w:val="24"/>
                <w:szCs w:val="24"/>
              </w:rPr>
              <w:t>Dreliņi</w:t>
            </w:r>
            <w:proofErr w:type="spellEnd"/>
            <w:r>
              <w:rPr>
                <w:rFonts w:ascii="Times New Roman" w:eastAsia="Times New Roman" w:hAnsi="Times New Roman" w:cs="Times New Roman"/>
                <w:sz w:val="24"/>
                <w:szCs w:val="24"/>
              </w:rPr>
              <w:t xml:space="preserve">, </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Stopiņu nov., LV - 2130</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LV13HABA0551012078126</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C00EE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6672BD" w:rsidRDefault="00C00EE7">
            <w:pPr>
              <w:spacing w:after="0" w:line="240" w:lineRule="auto"/>
              <w:ind w:right="-6"/>
              <w:jc w:val="both"/>
            </w:pPr>
            <w:proofErr w:type="spellStart"/>
            <w:r>
              <w:rPr>
                <w:rFonts w:ascii="Times New Roman" w:eastAsia="Times New Roman" w:hAnsi="Times New Roman" w:cs="Times New Roman"/>
                <w:sz w:val="24"/>
                <w:szCs w:val="24"/>
              </w:rPr>
              <w:t>N.Sedlers</w:t>
            </w:r>
            <w:proofErr w:type="spellEnd"/>
          </w:p>
          <w:p w:rsidR="006672BD" w:rsidRDefault="006672BD">
            <w:pPr>
              <w:spacing w:after="0" w:line="240" w:lineRule="auto"/>
              <w:ind w:right="-6"/>
              <w:jc w:val="both"/>
              <w:rPr>
                <w:rFonts w:ascii="Times New Roman" w:eastAsia="Times New Roman" w:hAnsi="Times New Roman" w:cs="Times New Roman"/>
                <w:sz w:val="24"/>
                <w:szCs w:val="24"/>
              </w:rPr>
            </w:pPr>
          </w:p>
          <w:p w:rsidR="006672BD" w:rsidRDefault="006672BD">
            <w:pPr>
              <w:spacing w:after="0" w:line="240" w:lineRule="auto"/>
              <w:ind w:right="-6"/>
              <w:jc w:val="both"/>
              <w:rPr>
                <w:rFonts w:ascii="Times New Roman" w:eastAsia="Times New Roman" w:hAnsi="Times New Roman" w:cs="Times New Roman"/>
                <w:sz w:val="24"/>
                <w:szCs w:val="24"/>
              </w:rPr>
            </w:pPr>
          </w:p>
        </w:tc>
      </w:tr>
    </w:tbl>
    <w:p w:rsidR="006672BD" w:rsidRDefault="006672BD"/>
    <w:p w:rsidR="006672BD" w:rsidRDefault="006672BD"/>
    <w:p w:rsidR="006672BD" w:rsidRDefault="006672BD"/>
    <w:p w:rsidR="006672BD" w:rsidRDefault="006672BD"/>
    <w:p w:rsidR="006672BD" w:rsidRDefault="006672BD"/>
    <w:p w:rsidR="006672BD" w:rsidRDefault="006672BD"/>
    <w:p w:rsidR="006672BD" w:rsidRDefault="006672BD"/>
    <w:p w:rsidR="006672BD" w:rsidRDefault="006672BD">
      <w:bookmarkStart w:id="6" w:name="_GoBack"/>
      <w:bookmarkEnd w:id="6"/>
    </w:p>
    <w:sectPr w:rsidR="006672BD">
      <w:footerReference w:type="default" r:id="rId9"/>
      <w:pgSz w:w="11906" w:h="16838"/>
      <w:pgMar w:top="1134" w:right="992" w:bottom="1134" w:left="1701"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FE" w:rsidRDefault="00C00EE7">
      <w:pPr>
        <w:spacing w:after="0" w:line="240" w:lineRule="auto"/>
      </w:pPr>
      <w:r>
        <w:separator/>
      </w:r>
    </w:p>
  </w:endnote>
  <w:endnote w:type="continuationSeparator" w:id="0">
    <w:p w:rsidR="00CE57FE" w:rsidRDefault="00C0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464453"/>
      <w:docPartObj>
        <w:docPartGallery w:val="Page Numbers (Bottom of Page)"/>
        <w:docPartUnique/>
      </w:docPartObj>
    </w:sdtPr>
    <w:sdtEndPr/>
    <w:sdtContent>
      <w:p w:rsidR="006672BD" w:rsidRDefault="00C00EE7">
        <w:pPr>
          <w:pStyle w:val="Footer"/>
          <w:jc w:val="center"/>
        </w:pPr>
        <w:r>
          <w:fldChar w:fldCharType="begin"/>
        </w:r>
        <w:r>
          <w:instrText>PAGE</w:instrText>
        </w:r>
        <w:r>
          <w:fldChar w:fldCharType="separate"/>
        </w:r>
        <w:r>
          <w:t>9</w:t>
        </w:r>
        <w:r>
          <w:fldChar w:fldCharType="end"/>
        </w:r>
      </w:p>
    </w:sdtContent>
  </w:sdt>
  <w:p w:rsidR="006672BD" w:rsidRDefault="0066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FE" w:rsidRDefault="00C00EE7">
      <w:pPr>
        <w:spacing w:after="0" w:line="240" w:lineRule="auto"/>
      </w:pPr>
      <w:r>
        <w:separator/>
      </w:r>
    </w:p>
  </w:footnote>
  <w:footnote w:type="continuationSeparator" w:id="0">
    <w:p w:rsidR="00CE57FE" w:rsidRDefault="00C0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238D6"/>
    <w:multiLevelType w:val="multilevel"/>
    <w:tmpl w:val="1E6C8FB6"/>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Times New Roman" w:hAnsi="Times New Roman"/>
        <w:b w:val="0"/>
        <w:sz w:val="24"/>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4A224C8E"/>
    <w:multiLevelType w:val="multilevel"/>
    <w:tmpl w:val="1F1CC938"/>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1.%2."/>
      <w:lvlJc w:val="left"/>
      <w:pPr>
        <w:tabs>
          <w:tab w:val="num" w:pos="562"/>
        </w:tabs>
        <w:ind w:left="562" w:hanging="420"/>
      </w:pPr>
      <w:rPr>
        <w:rFonts w:ascii="Times New Roman" w:hAnsi="Times New Roman" w:cs="Times New Roman"/>
        <w:b w:val="0"/>
        <w:color w:val="auto"/>
        <w:sz w:val="24"/>
      </w:rPr>
    </w:lvl>
    <w:lvl w:ilvl="2">
      <w:start w:val="1"/>
      <w:numFmt w:val="decimal"/>
      <w:lvlText w:val="%1.%2.%3."/>
      <w:lvlJc w:val="left"/>
      <w:pPr>
        <w:tabs>
          <w:tab w:val="num" w:pos="1997"/>
        </w:tabs>
        <w:ind w:left="1997" w:hanging="720"/>
      </w:pPr>
      <w:rPr>
        <w:rFonts w:ascii="Times New Roman" w:hAnsi="Times New Roman" w:cs="Times New Roman"/>
        <w:b w:val="0"/>
        <w:color w:val="auto"/>
        <w:sz w:val="24"/>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15:restartNumberingAfterBreak="0">
    <w:nsid w:val="52FC600B"/>
    <w:multiLevelType w:val="multilevel"/>
    <w:tmpl w:val="ADDC86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825561"/>
    <w:multiLevelType w:val="multilevel"/>
    <w:tmpl w:val="4DF4F29A"/>
    <w:lvl w:ilvl="0">
      <w:start w:val="1"/>
      <w:numFmt w:val="bullet"/>
      <w:lvlText w:val="-"/>
      <w:lvlJc w:val="left"/>
      <w:pPr>
        <w:ind w:left="644" w:hanging="360"/>
      </w:pPr>
      <w:rPr>
        <w:rFonts w:ascii="Times New Roman" w:hAnsi="Times New Roman" w:cs="Times New Roman"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 w15:restartNumberingAfterBreak="0">
    <w:nsid w:val="72AB58E2"/>
    <w:multiLevelType w:val="multilevel"/>
    <w:tmpl w:val="45401AB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BD"/>
    <w:rsid w:val="000B341C"/>
    <w:rsid w:val="006321E4"/>
    <w:rsid w:val="006672BD"/>
    <w:rsid w:val="007E5402"/>
    <w:rsid w:val="008A063F"/>
    <w:rsid w:val="00B012DF"/>
    <w:rsid w:val="00C00EE7"/>
    <w:rsid w:val="00CE57FE"/>
    <w:rsid w:val="00D77B26"/>
    <w:rsid w:val="00DC622D"/>
    <w:rsid w:val="00FB6A9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453"/>
  <w15:docId w15:val="{2A15A85B-18EC-49AA-B591-A7F5D91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94DC1"/>
    <w:rPr>
      <w:color w:val="0563C1" w:themeColor="hyperlink"/>
      <w:u w:val="single"/>
    </w:rPr>
  </w:style>
  <w:style w:type="character" w:customStyle="1" w:styleId="HeaderChar">
    <w:name w:val="Header Char"/>
    <w:basedOn w:val="DefaultParagraphFont"/>
    <w:link w:val="Header"/>
    <w:uiPriority w:val="99"/>
    <w:qFormat/>
    <w:rsid w:val="004474BC"/>
  </w:style>
  <w:style w:type="character" w:customStyle="1" w:styleId="FooterChar">
    <w:name w:val="Footer Char"/>
    <w:basedOn w:val="DefaultParagraphFont"/>
    <w:link w:val="Footer"/>
    <w:uiPriority w:val="99"/>
    <w:qFormat/>
    <w:rsid w:val="004474BC"/>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ascii="Times New Roman" w:hAnsi="Times New Roman" w:cs="Times New Roman"/>
      <w:b/>
      <w:color w:val="auto"/>
      <w:sz w:val="24"/>
    </w:rPr>
  </w:style>
  <w:style w:type="character" w:customStyle="1" w:styleId="ListLabel3">
    <w:name w:val="ListLabel 3"/>
    <w:qFormat/>
    <w:rPr>
      <w:rFonts w:ascii="Times New Roman" w:hAnsi="Times New Roman" w:cs="Times New Roman"/>
      <w:b/>
      <w:color w:val="auto"/>
      <w:sz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b/>
      <w:sz w:val="24"/>
    </w:rPr>
  </w:style>
  <w:style w:type="character" w:customStyle="1" w:styleId="ListLabel11">
    <w:name w:val="ListLabel 11"/>
    <w:qFormat/>
    <w:rPr>
      <w:rFonts w:ascii="Times New Roman" w:eastAsia="Calibri" w:hAnsi="Times New Roman" w:cs="Times New Roman"/>
      <w:sz w:val="24"/>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eastAsia="Calibri" w:hAnsi="Times New Roman" w:cs="Times New Roman"/>
      <w:color w:val="0000FF"/>
      <w:sz w:val="24"/>
      <w:szCs w:val="24"/>
      <w:u w:val="single"/>
    </w:rPr>
  </w:style>
  <w:style w:type="character" w:customStyle="1" w:styleId="ListLabel16">
    <w:name w:val="ListLabel 16"/>
    <w:qFormat/>
    <w:rPr>
      <w:rFonts w:ascii="Times New Roman" w:eastAsia="Calibri"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94DC1"/>
    <w:pPr>
      <w:ind w:left="720"/>
      <w:contextualSpacing/>
    </w:pPr>
  </w:style>
  <w:style w:type="paragraph" w:styleId="Header">
    <w:name w:val="header"/>
    <w:basedOn w:val="Normal"/>
    <w:link w:val="HeaderChar"/>
    <w:uiPriority w:val="99"/>
    <w:unhideWhenUsed/>
    <w:rsid w:val="004474BC"/>
    <w:pPr>
      <w:tabs>
        <w:tab w:val="center" w:pos="4153"/>
        <w:tab w:val="right" w:pos="8306"/>
      </w:tabs>
      <w:spacing w:after="0" w:line="240" w:lineRule="auto"/>
    </w:pPr>
  </w:style>
  <w:style w:type="paragraph" w:styleId="Footer">
    <w:name w:val="footer"/>
    <w:basedOn w:val="Normal"/>
    <w:link w:val="FooterChar"/>
    <w:uiPriority w:val="99"/>
    <w:unhideWhenUsed/>
    <w:rsid w:val="004474BC"/>
    <w:pPr>
      <w:tabs>
        <w:tab w:val="center" w:pos="4153"/>
        <w:tab w:val="right" w:pos="8306"/>
      </w:tabs>
      <w:spacing w:after="0" w:line="240" w:lineRule="auto"/>
    </w:pPr>
  </w:style>
  <w:style w:type="table" w:styleId="TableGrid">
    <w:name w:val="Table Grid"/>
    <w:basedOn w:val="TableNormal"/>
    <w:uiPriority w:val="39"/>
    <w:rsid w:val="0010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interlux.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14868</Words>
  <Characters>8476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10</cp:revision>
  <dcterms:created xsi:type="dcterms:W3CDTF">2018-11-21T10:33:00Z</dcterms:created>
  <dcterms:modified xsi:type="dcterms:W3CDTF">2018-12-27T09:37:00Z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