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51B" w:rsidRDefault="002B5E57">
      <w:pPr>
        <w:suppressAutoHyphens/>
        <w:spacing w:after="0" w:line="240" w:lineRule="auto"/>
        <w:ind w:right="-766"/>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PIEGĀDES LĪGUMS Nr. </w:t>
      </w:r>
      <w:r w:rsidR="004D0A1D">
        <w:rPr>
          <w:rFonts w:ascii="Times New Roman" w:eastAsia="Times New Roman" w:hAnsi="Times New Roman" w:cs="Times New Roman"/>
          <w:sz w:val="24"/>
          <w:szCs w:val="24"/>
        </w:rPr>
        <w:t>SKUS 155/18</w:t>
      </w:r>
    </w:p>
    <w:p w:rsidR="00B7251B" w:rsidRDefault="002B5E57">
      <w:pPr>
        <w:widowControl w:val="0"/>
        <w:tabs>
          <w:tab w:val="right" w:pos="9072"/>
        </w:tabs>
        <w:suppressAutoHyphens/>
        <w:spacing w:after="0" w:line="240" w:lineRule="auto"/>
        <w:ind w:right="-766"/>
        <w:jc w:val="center"/>
        <w:textAlignment w:val="baseline"/>
        <w:rPr>
          <w:rFonts w:ascii="Times New Roman" w:eastAsia="Calibri" w:hAnsi="Times New Roman" w:cs="Times New Roman"/>
          <w:bCs/>
          <w:i/>
          <w:sz w:val="24"/>
          <w:szCs w:val="24"/>
        </w:rPr>
      </w:pPr>
      <w:r>
        <w:rPr>
          <w:rFonts w:ascii="Times New Roman" w:eastAsia="Calibri" w:hAnsi="Times New Roman" w:cs="Times New Roman"/>
          <w:bCs/>
          <w:i/>
          <w:sz w:val="24"/>
          <w:szCs w:val="24"/>
        </w:rPr>
        <w:t>Perimetra aizsardzības iekārtas licenču nodrošinājums</w:t>
      </w:r>
    </w:p>
    <w:p w:rsidR="00B7251B" w:rsidRDefault="00B7251B">
      <w:pPr>
        <w:widowControl w:val="0"/>
        <w:tabs>
          <w:tab w:val="right" w:pos="9072"/>
        </w:tabs>
        <w:suppressAutoHyphens/>
        <w:spacing w:after="0" w:line="240" w:lineRule="auto"/>
        <w:ind w:right="-766"/>
        <w:jc w:val="center"/>
        <w:textAlignment w:val="baseline"/>
        <w:rPr>
          <w:rFonts w:ascii="Times New Roman" w:eastAsia="Times New Roman" w:hAnsi="Times New Roman" w:cs="Times New Roman"/>
          <w:bCs/>
          <w:i/>
          <w:sz w:val="24"/>
          <w:szCs w:val="24"/>
        </w:rPr>
      </w:pPr>
    </w:p>
    <w:p w:rsidR="00B7251B" w:rsidRDefault="002B5E57">
      <w:pPr>
        <w:widowControl w:val="0"/>
        <w:tabs>
          <w:tab w:val="right" w:pos="9072"/>
        </w:tabs>
        <w:suppressAutoHyphens/>
        <w:spacing w:after="0" w:line="240" w:lineRule="auto"/>
        <w:ind w:right="-766"/>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Rīgā,</w:t>
      </w:r>
      <w:r>
        <w:rPr>
          <w:rFonts w:ascii="Times New Roman" w:eastAsia="Times New Roman" w:hAnsi="Times New Roman" w:cs="Times New Roman"/>
          <w:bCs/>
          <w:sz w:val="24"/>
          <w:szCs w:val="24"/>
        </w:rPr>
        <w:tab/>
        <w:t xml:space="preserve">               2018. gada </w:t>
      </w:r>
      <w:r w:rsidR="004D0A1D">
        <w:rPr>
          <w:rFonts w:ascii="Times New Roman" w:eastAsia="Times New Roman" w:hAnsi="Times New Roman" w:cs="Times New Roman"/>
          <w:bCs/>
          <w:sz w:val="24"/>
          <w:szCs w:val="24"/>
        </w:rPr>
        <w:t>27.marts</w:t>
      </w:r>
    </w:p>
    <w:p w:rsidR="00B7251B" w:rsidRDefault="00B7251B">
      <w:pPr>
        <w:widowControl w:val="0"/>
        <w:suppressAutoHyphens/>
        <w:spacing w:after="0" w:line="240" w:lineRule="auto"/>
        <w:ind w:right="-766"/>
        <w:jc w:val="both"/>
        <w:textAlignment w:val="baseline"/>
        <w:rPr>
          <w:rFonts w:ascii="Times New Roman" w:eastAsia="Times New Roman" w:hAnsi="Times New Roman" w:cs="Times New Roman"/>
          <w:b/>
          <w:sz w:val="24"/>
          <w:szCs w:val="24"/>
        </w:rPr>
      </w:pPr>
    </w:p>
    <w:p w:rsidR="00B7251B" w:rsidRDefault="002B5E57">
      <w:pPr>
        <w:spacing w:after="0" w:line="240" w:lineRule="auto"/>
        <w:ind w:right="-7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VSIA „Paula Stradiņa klīniskā universitātes slimnīca”</w:t>
      </w:r>
      <w:r>
        <w:rPr>
          <w:rFonts w:ascii="Times New Roman" w:eastAsia="Times New Roman" w:hAnsi="Times New Roman" w:cs="Times New Roman"/>
          <w:sz w:val="24"/>
          <w:szCs w:val="24"/>
        </w:rPr>
        <w:t xml:space="preserve">, reģ.Nr.40003457109, kuru, </w:t>
      </w:r>
      <w:r>
        <w:rPr>
          <w:rFonts w:ascii="Times New Roman" w:hAnsi="Times New Roman"/>
          <w:sz w:val="24"/>
          <w:szCs w:val="24"/>
        </w:rPr>
        <w:t>saskaņā ar statūtiem un 01.03.2018. valdes lēmumu Nr.22 (protokols Nr.9 p.3) “Par pilnvarojuma (</w:t>
      </w:r>
      <w:proofErr w:type="spellStart"/>
      <w:r>
        <w:rPr>
          <w:rFonts w:ascii="Times New Roman" w:hAnsi="Times New Roman"/>
          <w:sz w:val="24"/>
          <w:szCs w:val="24"/>
        </w:rPr>
        <w:t>paraksttiesību</w:t>
      </w:r>
      <w:proofErr w:type="spellEnd"/>
      <w:r>
        <w:rPr>
          <w:rFonts w:ascii="Times New Roman" w:hAnsi="Times New Roman"/>
          <w:sz w:val="24"/>
          <w:szCs w:val="24"/>
        </w:rPr>
        <w:t xml:space="preserve">) piešķiršanu” pārstāv valdes priekšsēdētāja </w:t>
      </w:r>
      <w:r>
        <w:rPr>
          <w:rFonts w:ascii="Times New Roman" w:hAnsi="Times New Roman"/>
          <w:b/>
          <w:sz w:val="24"/>
          <w:szCs w:val="24"/>
        </w:rPr>
        <w:t>Ilze Kreicberga</w:t>
      </w:r>
      <w:r>
        <w:rPr>
          <w:rFonts w:ascii="Times New Roman" w:hAnsi="Times New Roman"/>
          <w:sz w:val="24"/>
          <w:szCs w:val="24"/>
        </w:rPr>
        <w:t>, (turpmāk - Pasūtītājs) no vienas puses</w:t>
      </w:r>
      <w:r>
        <w:rPr>
          <w:rFonts w:ascii="Times New Roman" w:eastAsia="Times New Roman" w:hAnsi="Times New Roman"/>
          <w:sz w:val="24"/>
          <w:szCs w:val="24"/>
        </w:rPr>
        <w:t xml:space="preserve">, </w:t>
      </w:r>
      <w:r>
        <w:rPr>
          <w:rFonts w:ascii="Times New Roman" w:eastAsia="Times New Roman" w:hAnsi="Times New Roman" w:cs="Times New Roman"/>
          <w:sz w:val="24"/>
          <w:szCs w:val="24"/>
        </w:rPr>
        <w:t>un</w:t>
      </w:r>
    </w:p>
    <w:p w:rsidR="00B7251B" w:rsidRDefault="002B5E57">
      <w:pPr>
        <w:spacing w:after="0" w:line="240" w:lineRule="auto"/>
        <w:ind w:right="-766"/>
        <w:jc w:val="both"/>
        <w:rPr>
          <w:rFonts w:ascii="Times New Roman" w:eastAsia="Times New Roman" w:hAnsi="Times New Roman" w:cs="Times New Roman"/>
          <w:sz w:val="24"/>
          <w:szCs w:val="24"/>
        </w:rPr>
      </w:pPr>
      <w:r>
        <w:rPr>
          <w:rFonts w:ascii="Times New Roman" w:eastAsia="Times New Roman" w:hAnsi="Times New Roman" w:cs="Times New Roman"/>
          <w:b/>
          <w:bCs/>
          <w:color w:val="00000A"/>
          <w:sz w:val="24"/>
          <w:szCs w:val="24"/>
        </w:rPr>
        <w:t>SIA “ENTRONS”</w:t>
      </w:r>
      <w:r>
        <w:rPr>
          <w:rFonts w:ascii="Times New Roman" w:eastAsia="Times New Roman" w:hAnsi="Times New Roman" w:cs="Times New Roman"/>
          <w:color w:val="00000A"/>
          <w:sz w:val="24"/>
          <w:szCs w:val="24"/>
        </w:rPr>
        <w:t xml:space="preserve">, reģistrācijas Nr. 40103770356, </w:t>
      </w:r>
      <w:r>
        <w:rPr>
          <w:rFonts w:ascii="Times New Roman" w:eastAsia="Times New Roman" w:hAnsi="Times New Roman" w:cs="Times New Roman"/>
          <w:sz w:val="24"/>
          <w:szCs w:val="24"/>
        </w:rPr>
        <w:t xml:space="preserve">tās valdes locekļa Anrija </w:t>
      </w:r>
      <w:proofErr w:type="spellStart"/>
      <w:r>
        <w:rPr>
          <w:rFonts w:ascii="Times New Roman" w:eastAsia="Times New Roman" w:hAnsi="Times New Roman" w:cs="Times New Roman"/>
          <w:sz w:val="24"/>
          <w:szCs w:val="24"/>
        </w:rPr>
        <w:t>Grosberga</w:t>
      </w:r>
      <w:proofErr w:type="spellEnd"/>
      <w:r>
        <w:rPr>
          <w:rFonts w:ascii="Times New Roman" w:eastAsia="Times New Roman" w:hAnsi="Times New Roman" w:cs="Times New Roman"/>
          <w:sz w:val="24"/>
          <w:szCs w:val="24"/>
        </w:rPr>
        <w:t xml:space="preserve"> personā, kurš rīkojas uz statūtu pamata (turpmāk – Piegādātājs) no otras puses (abi kopā – Puses), pamatojoties uz iepirkuma „Perimetra aizsardzības iekārtas licenču nodrošinājums” (ID Nr. PSKUS 2018/59), rezultātiem un, saskaņā ar Piegādātāja iesniegto piedāvājumu, noslēdz šādu līgumu (turpmāk – Līgums):</w:t>
      </w:r>
    </w:p>
    <w:p w:rsidR="00B7251B" w:rsidRDefault="002B5E57">
      <w:pPr>
        <w:numPr>
          <w:ilvl w:val="0"/>
          <w:numId w:val="1"/>
        </w:numPr>
        <w:spacing w:before="120" w:after="120" w:line="240" w:lineRule="auto"/>
        <w:ind w:right="-76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Līguma priekšmets</w:t>
      </w:r>
    </w:p>
    <w:p w:rsidR="00B7251B" w:rsidRDefault="002B5E57">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Atbilstoši Līguma noteikumiem, Piegādātājs piegādā un Pasūtītājs pieņem datortīkla perimetra aizsardzības iekārtu licences (turpmāk – Licences). Visas piedāvātās Licences ir paredzētas lietošanai Eiropas Savienības tirgū. Licenču apraksts, skaits un izmaksas pievienotas Līguma pielikumā</w:t>
      </w:r>
      <w:r>
        <w:rPr>
          <w:rFonts w:ascii="Times New Roman" w:eastAsia="Times New Roman" w:hAnsi="Times New Roman" w:cs="Times New Roman"/>
          <w:sz w:val="24"/>
          <w:szCs w:val="24"/>
        </w:rPr>
        <w:t xml:space="preserve">. </w:t>
      </w:r>
    </w:p>
    <w:p w:rsidR="00B7251B" w:rsidRDefault="002B5E57">
      <w:pPr>
        <w:numPr>
          <w:ilvl w:val="1"/>
          <w:numId w:val="1"/>
        </w:numPr>
        <w:spacing w:after="0" w:line="240" w:lineRule="auto"/>
        <w:ind w:right="-766" w:hanging="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Licenču piegādes vieta: VSIA “Paula Stradiņa klīniskā universitātes slimnīca” Pilsoņu iela 13, Rīga, LV – 1002, 108.korpuss, slimnīcas aptieka.</w:t>
      </w:r>
    </w:p>
    <w:p w:rsidR="00B7251B" w:rsidRDefault="002B5E57">
      <w:pPr>
        <w:numPr>
          <w:ilvl w:val="1"/>
          <w:numId w:val="1"/>
        </w:numPr>
        <w:spacing w:after="0" w:line="240" w:lineRule="auto"/>
        <w:ind w:right="-766" w:hanging="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Licenču piegāde: Piegādātājs piegādā Licences 30 (trīsdesmit) kalendāro dienu laikā no Līguma abpusējas parakstīšanas dienas.</w:t>
      </w:r>
    </w:p>
    <w:p w:rsidR="00B7251B" w:rsidRDefault="002B5E57">
      <w:pPr>
        <w:numPr>
          <w:ilvl w:val="0"/>
          <w:numId w:val="1"/>
        </w:numPr>
        <w:spacing w:before="120" w:after="120" w:line="240" w:lineRule="auto"/>
        <w:ind w:right="-76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Līguma summa, norēķinu kārtība</w:t>
      </w:r>
    </w:p>
    <w:p w:rsidR="00B7251B" w:rsidRDefault="002B5E57">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Līguma kopējā summa nepārsniedz </w:t>
      </w:r>
      <w:r>
        <w:rPr>
          <w:rFonts w:ascii="Times New Roman" w:eastAsia="Times New Roman" w:hAnsi="Times New Roman" w:cs="Times New Roman"/>
          <w:b/>
          <w:bCs/>
          <w:sz w:val="24"/>
          <w:szCs w:val="24"/>
        </w:rPr>
        <w:t xml:space="preserve"> 38 184.00 EUR </w:t>
      </w:r>
      <w:r>
        <w:rPr>
          <w:rFonts w:ascii="Times New Roman" w:eastAsia="Times New Roman" w:hAnsi="Times New Roman" w:cs="Times New Roman"/>
          <w:sz w:val="24"/>
          <w:szCs w:val="24"/>
        </w:rPr>
        <w:t xml:space="preserve"> (trīsdesmit astoņi tūkstoši viens simts astoņdesmit četri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un 00 centi) bez pievienotās vērtības nodokļa (turpmāk – PVN). PVN tiek aprēķināts un maksāts papildus saskaņā ar spēkā esošo nodokļu likmi. </w:t>
      </w:r>
    </w:p>
    <w:p w:rsidR="00B7251B" w:rsidRDefault="002B5E57">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Konkrēto Licenču vienas vienības cenas ir norādītas Līguma pielikumā.</w:t>
      </w:r>
      <w:r>
        <w:rPr>
          <w:rFonts w:ascii="Times New Roman" w:eastAsia="Times New Roman" w:hAnsi="Times New Roman" w:cs="Times New Roman"/>
          <w:sz w:val="24"/>
          <w:szCs w:val="24"/>
        </w:rPr>
        <w:t xml:space="preserve">  </w:t>
      </w:r>
    </w:p>
    <w:p w:rsidR="00B7251B" w:rsidRDefault="002B5E57">
      <w:pPr>
        <w:numPr>
          <w:ilvl w:val="1"/>
          <w:numId w:val="1"/>
        </w:numPr>
        <w:spacing w:after="0" w:line="240" w:lineRule="auto"/>
        <w:ind w:right="-766" w:hanging="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licenču piegādi Pasūtītājam uz Līguma 1.2.punktā norādīto adresi, </w:t>
      </w:r>
      <w:r>
        <w:rPr>
          <w:rFonts w:ascii="Times New Roman" w:eastAsia="Calibri" w:hAnsi="Times New Roman" w:cs="Times New Roman"/>
          <w:sz w:val="24"/>
          <w:szCs w:val="24"/>
        </w:rPr>
        <w:t>u.c. saistītās izmaksas</w:t>
      </w:r>
      <w:r>
        <w:rPr>
          <w:rFonts w:ascii="Times New Roman" w:eastAsia="Times New Roman" w:hAnsi="Times New Roman" w:cs="Times New Roman"/>
          <w:sz w:val="24"/>
          <w:szCs w:val="24"/>
        </w:rPr>
        <w:t>.</w:t>
      </w:r>
    </w:p>
    <w:p w:rsidR="00B7251B" w:rsidRDefault="002B5E57">
      <w:pPr>
        <w:numPr>
          <w:ilvl w:val="1"/>
          <w:numId w:val="1"/>
        </w:numPr>
        <w:spacing w:after="0" w:line="240" w:lineRule="auto"/>
        <w:ind w:left="567"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Pasūtītājs veic samaksu ne vēlāk kā 60 (sešdesmit) kalendāro dienu laikā pēc </w:t>
      </w:r>
      <w:r>
        <w:rPr>
          <w:rFonts w:ascii="Times New Roman" w:eastAsia="Times New Roman" w:hAnsi="Times New Roman" w:cs="Times New Roman"/>
          <w:sz w:val="24"/>
          <w:szCs w:val="24"/>
          <w:lang w:eastAsia="lv-LV"/>
        </w:rPr>
        <w:t>Līguma noteikumiem atbilstošu Licenču piegādes un rēķina saņemšanas un abpusējas parakstīšanas dienas, pārskaitot rēķinā norādīto naudas summu uz Līgumā norādīto Piegādātāja bankas norēķina kontu</w:t>
      </w:r>
      <w:r>
        <w:rPr>
          <w:rFonts w:ascii="Times New Roman" w:eastAsia="Times New Roman" w:hAnsi="Times New Roman" w:cs="Times New Roman"/>
          <w:sz w:val="24"/>
          <w:szCs w:val="24"/>
        </w:rPr>
        <w:t>.</w:t>
      </w:r>
    </w:p>
    <w:p w:rsidR="00B7251B" w:rsidRDefault="002B5E57">
      <w:pPr>
        <w:numPr>
          <w:ilvl w:val="1"/>
          <w:numId w:val="1"/>
        </w:numPr>
        <w:spacing w:after="0" w:line="240" w:lineRule="auto"/>
        <w:ind w:left="567"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Pasūtītājam nav pienākums apmaksāt Piegādātāja rēķinus vai segt jebkādas Piegādātāja izmaksas vai zaudējumus par Līguma prasībām neatbilstošu Licenču piegādi</w:t>
      </w:r>
      <w:r>
        <w:rPr>
          <w:rFonts w:ascii="Times New Roman" w:eastAsia="Times New Roman" w:hAnsi="Times New Roman" w:cs="Times New Roman"/>
          <w:sz w:val="24"/>
          <w:szCs w:val="24"/>
        </w:rPr>
        <w:t>.</w:t>
      </w:r>
    </w:p>
    <w:p w:rsidR="00B7251B" w:rsidRDefault="002B5E57">
      <w:pPr>
        <w:numPr>
          <w:ilvl w:val="1"/>
          <w:numId w:val="1"/>
        </w:numPr>
        <w:spacing w:after="0" w:line="240" w:lineRule="auto"/>
        <w:ind w:right="-766" w:hanging="562"/>
        <w:contextualSpacing/>
        <w:jc w:val="both"/>
      </w:pPr>
      <w:r>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r>
          <w:rPr>
            <w:rStyle w:val="InternetLink"/>
            <w:rFonts w:ascii="Times New Roman" w:eastAsia="Calibri" w:hAnsi="Times New Roman" w:cs="Times New Roman"/>
            <w:color w:val="0000FF"/>
            <w:sz w:val="24"/>
            <w:szCs w:val="24"/>
          </w:rPr>
          <w:t>rekini@stradini.lv</w:t>
        </w:r>
      </w:hyperlink>
      <w:r>
        <w:rPr>
          <w:rFonts w:ascii="Times New Roman" w:eastAsia="Calibri" w:hAnsi="Times New Roman" w:cs="Times New Roman"/>
          <w:sz w:val="24"/>
          <w:szCs w:val="24"/>
        </w:rPr>
        <w:t xml:space="preserve">. </w:t>
      </w:r>
    </w:p>
    <w:p w:rsidR="00B7251B" w:rsidRDefault="002B5E57">
      <w:pPr>
        <w:numPr>
          <w:ilvl w:val="1"/>
          <w:numId w:val="1"/>
        </w:numPr>
        <w:spacing w:after="0" w:line="240" w:lineRule="auto"/>
        <w:ind w:right="-766" w:hanging="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Samaksa uzskatāma par veiktu ar brīdi, kad Pasūtītājs veicis pārskaitījumu uz Piegādātāja norādīto norēķinu kontu.</w:t>
      </w:r>
    </w:p>
    <w:p w:rsidR="00B7251B" w:rsidRDefault="002B5E57">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Līguma darbības termiņš un spēkā esamība</w:t>
      </w:r>
    </w:p>
    <w:p w:rsidR="00B7251B" w:rsidRDefault="002B5E57">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Līgums stājas spēkā tā abpusējas parakstīšanas brīdī un ir spēkā līdz</w:t>
      </w:r>
      <w:r>
        <w:rPr>
          <w:rFonts w:ascii="Times New Roman" w:eastAsia="Times New Roman" w:hAnsi="Times New Roman" w:cs="Times New Roman"/>
          <w:sz w:val="24"/>
          <w:szCs w:val="24"/>
        </w:rPr>
        <w:t xml:space="preserve"> īsākajam no šādiem termiņiem:</w:t>
      </w:r>
    </w:p>
    <w:p w:rsidR="00B7251B" w:rsidRDefault="002B5E57">
      <w:pPr>
        <w:numPr>
          <w:ilvl w:val="2"/>
          <w:numId w:val="1"/>
        </w:numPr>
        <w:tabs>
          <w:tab w:val="left"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līdz Līguma 2.1.punktā noteiktās summas izlietojumam;</w:t>
      </w:r>
    </w:p>
    <w:p w:rsidR="00B7251B" w:rsidRDefault="002B5E57">
      <w:pPr>
        <w:numPr>
          <w:ilvl w:val="2"/>
          <w:numId w:val="1"/>
        </w:numPr>
        <w:tabs>
          <w:tab w:val="left" w:pos="1276"/>
        </w:tabs>
        <w:spacing w:after="0" w:line="240" w:lineRule="auto"/>
        <w:ind w:left="1276" w:right="-766" w:hanging="709"/>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rPr>
        <w:lastRenderedPageBreak/>
        <w:t>12 (divpadsmit) mēneši no Līguma spēkā stāšanās dienas.</w:t>
      </w:r>
    </w:p>
    <w:p w:rsidR="00B7251B" w:rsidRDefault="002B5E57">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Pusēm ir tiesības jebkurā brīdī izbeigt Līgumu, par to rakstiski vienojoties.</w:t>
      </w:r>
    </w:p>
    <w:p w:rsidR="00B7251B" w:rsidRDefault="002B5E57">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B7251B" w:rsidRDefault="002B5E57">
      <w:pPr>
        <w:numPr>
          <w:ilvl w:val="2"/>
          <w:numId w:val="1"/>
        </w:numPr>
        <w:tabs>
          <w:tab w:val="left"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Piegādātājs ilgāk kā 2 mēnešus nepilda savas Līgumā noteiktās saistības;</w:t>
      </w:r>
    </w:p>
    <w:p w:rsidR="00B7251B" w:rsidRDefault="002B5E57">
      <w:pPr>
        <w:numPr>
          <w:ilvl w:val="2"/>
          <w:numId w:val="1"/>
        </w:numPr>
        <w:tabs>
          <w:tab w:val="left"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B7251B" w:rsidRDefault="002B5E57">
      <w:pPr>
        <w:numPr>
          <w:ilvl w:val="2"/>
          <w:numId w:val="1"/>
        </w:numPr>
        <w:tabs>
          <w:tab w:val="left"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notikusi Piegādātāja likvidācija; </w:t>
      </w:r>
    </w:p>
    <w:p w:rsidR="00B7251B" w:rsidRDefault="002B5E57">
      <w:pPr>
        <w:numPr>
          <w:ilvl w:val="2"/>
          <w:numId w:val="1"/>
        </w:numPr>
        <w:tabs>
          <w:tab w:val="left"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 Piegādātāju uzsākta maksātnespējas procedūra.</w:t>
      </w:r>
    </w:p>
    <w:p w:rsidR="00B7251B" w:rsidRDefault="002B5E57">
      <w:pPr>
        <w:numPr>
          <w:ilvl w:val="1"/>
          <w:numId w:val="1"/>
        </w:numPr>
        <w:spacing w:after="0" w:line="240" w:lineRule="auto"/>
        <w:ind w:right="-766" w:hanging="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vienpusēju atkāpšanos no līguma Pasūtītājs Līguma 3.3.punktā noteiktajā termiņā nosuta Piegādātājam rakstisku paziņojumu. Līgums uzskatāms par izbeigtu trīsdesmitajā dienā pēc Pasūtītāja rakstiska paziņojuma nosūtīšanas.</w:t>
      </w:r>
    </w:p>
    <w:p w:rsidR="00B7251B" w:rsidRDefault="002B5E57">
      <w:pPr>
        <w:numPr>
          <w:ilvl w:val="1"/>
          <w:numId w:val="1"/>
        </w:numPr>
        <w:spacing w:after="0" w:line="240" w:lineRule="auto"/>
        <w:ind w:right="-766" w:hanging="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B7251B" w:rsidRDefault="002B5E57">
      <w:pPr>
        <w:numPr>
          <w:ilvl w:val="2"/>
          <w:numId w:val="1"/>
        </w:numPr>
        <w:tabs>
          <w:tab w:val="left"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B7251B" w:rsidRDefault="002B5E57">
      <w:pPr>
        <w:numPr>
          <w:ilvl w:val="2"/>
          <w:numId w:val="1"/>
        </w:numPr>
        <w:tabs>
          <w:tab w:val="left"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iestājušies apstākļi, kas apgrūtina vai padara neiespējamu Piegādātāja Līgumā noteikto saistību izpildi, iesniedzot Pasūtītāja rakstisku pamatojumu</w:t>
      </w:r>
      <w:r>
        <w:rPr>
          <w:rFonts w:ascii="Times New Roman" w:eastAsia="Times New Roman" w:hAnsi="Times New Roman" w:cs="Times New Roman"/>
          <w:sz w:val="24"/>
          <w:szCs w:val="24"/>
        </w:rPr>
        <w:t>.</w:t>
      </w:r>
    </w:p>
    <w:p w:rsidR="00B7251B" w:rsidRDefault="002B5E57">
      <w:pPr>
        <w:numPr>
          <w:ilvl w:val="1"/>
          <w:numId w:val="1"/>
        </w:numPr>
        <w:spacing w:after="0" w:line="240" w:lineRule="auto"/>
        <w:ind w:right="-766" w:hanging="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B7251B" w:rsidRDefault="00B7251B">
      <w:pPr>
        <w:spacing w:after="0" w:line="240" w:lineRule="auto"/>
        <w:ind w:right="-766"/>
        <w:jc w:val="both"/>
        <w:rPr>
          <w:rFonts w:ascii="Times New Roman" w:eastAsia="Times New Roman" w:hAnsi="Times New Roman" w:cs="Times New Roman"/>
          <w:sz w:val="24"/>
          <w:szCs w:val="24"/>
        </w:rPr>
      </w:pPr>
    </w:p>
    <w:p w:rsidR="00B7251B" w:rsidRDefault="002B5E57">
      <w:pPr>
        <w:numPr>
          <w:ilvl w:val="0"/>
          <w:numId w:val="1"/>
        </w:numPr>
        <w:spacing w:before="120" w:after="12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Pušu saistības</w:t>
      </w:r>
    </w:p>
    <w:p w:rsidR="00B7251B" w:rsidRDefault="002B5E57">
      <w:pPr>
        <w:numPr>
          <w:ilvl w:val="1"/>
          <w:numId w:val="1"/>
        </w:numPr>
        <w:spacing w:after="0" w:line="240" w:lineRule="auto"/>
        <w:ind w:right="-766" w:hanging="56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Piegādātāja pienākumi:</w:t>
      </w:r>
    </w:p>
    <w:p w:rsidR="00B7251B" w:rsidRDefault="002B5E57">
      <w:pPr>
        <w:numPr>
          <w:ilvl w:val="2"/>
          <w:numId w:val="1"/>
        </w:numPr>
        <w:tabs>
          <w:tab w:val="left"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Times New Roman" w:hAnsi="Times New Roman" w:cs="Times New Roman"/>
          <w:sz w:val="24"/>
          <w:szCs w:val="24"/>
        </w:rPr>
        <w:t>piegādāt Līguma prasībām atbilstošas Licences, saskaņā ar Līguma noteikumiem</w:t>
      </w:r>
      <w:r>
        <w:rPr>
          <w:rFonts w:ascii="Times New Roman" w:eastAsia="Calibri" w:hAnsi="Times New Roman" w:cs="Times New Roman"/>
          <w:sz w:val="24"/>
          <w:szCs w:val="24"/>
        </w:rPr>
        <w:t>;</w:t>
      </w:r>
    </w:p>
    <w:p w:rsidR="00B7251B" w:rsidRDefault="002B5E57">
      <w:pPr>
        <w:numPr>
          <w:ilvl w:val="2"/>
          <w:numId w:val="1"/>
        </w:numPr>
        <w:tabs>
          <w:tab w:val="left"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sagatavot un nodot Pasūtītājam rēķinu par piegādātajām Licencēm;</w:t>
      </w:r>
    </w:p>
    <w:p w:rsidR="00B7251B" w:rsidRDefault="002B5E57">
      <w:pPr>
        <w:numPr>
          <w:ilvl w:val="2"/>
          <w:numId w:val="1"/>
        </w:numPr>
        <w:tabs>
          <w:tab w:val="left"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laikus, 5 (piecas) darba dienas pirms piegādes termiņa iestāšanās, informēt Pasūtītāju par iespējamiem vai paredzamiem kavējumiem Līguma izpildē un apstākļiem, notikumiem un problēmām, kas kavē veikt piegādi noteiktajā laikā. Pasūtītājs ir tiesīgs izvērtēt Piegādātāja sniegto informāciju, kā arī lemt par Līguma 5.2.punkta piemērošanu šajā gadījumā. Uz šo punktu nav attiecināmi Līguma 6.punkta noteikumi;</w:t>
      </w:r>
    </w:p>
    <w:p w:rsidR="00B7251B" w:rsidRDefault="002B5E57">
      <w:pPr>
        <w:numPr>
          <w:ilvl w:val="2"/>
          <w:numId w:val="1"/>
        </w:numPr>
        <w:tabs>
          <w:tab w:val="left"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Līguma izpildi ar saviem spēkiem, resursiem un līdzekļiem.</w:t>
      </w:r>
    </w:p>
    <w:p w:rsidR="00B7251B" w:rsidRDefault="002B5E57">
      <w:pPr>
        <w:tabs>
          <w:tab w:val="left" w:pos="567"/>
        </w:tabs>
        <w:spacing w:after="0" w:line="240" w:lineRule="auto"/>
        <w:ind w:left="1276" w:right="-766"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Piegādātāja tiesības:</w:t>
      </w:r>
    </w:p>
    <w:p w:rsidR="00B7251B" w:rsidRDefault="002B5E57">
      <w:p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r>
        <w:rPr>
          <w:rFonts w:ascii="Times New Roman" w:eastAsia="Times New Roman" w:hAnsi="Times New Roman" w:cs="Times New Roman"/>
          <w:sz w:val="24"/>
          <w:szCs w:val="24"/>
        </w:rPr>
        <w:tab/>
        <w:t>par atbilstošu Licenču piegādi savlaicīgi saņemt Līgumā noteikto samaksu;</w:t>
      </w:r>
    </w:p>
    <w:p w:rsidR="00B7251B" w:rsidRDefault="002B5E57">
      <w:p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r>
        <w:rPr>
          <w:rFonts w:ascii="Times New Roman" w:eastAsia="Times New Roman" w:hAnsi="Times New Roman" w:cs="Times New Roman"/>
          <w:sz w:val="24"/>
          <w:szCs w:val="24"/>
        </w:rPr>
        <w:tab/>
        <w:t>saņemt no Pasūtītāja saistību izpildei nepieciešamo informāciju.</w:t>
      </w:r>
    </w:p>
    <w:p w:rsidR="00B7251B" w:rsidRDefault="002B5E57">
      <w:pPr>
        <w:tabs>
          <w:tab w:val="left" w:pos="567"/>
          <w:tab w:val="left" w:pos="993"/>
        </w:tabs>
        <w:spacing w:after="0" w:line="240" w:lineRule="auto"/>
        <w:ind w:left="142" w:right="-76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Pasūtītāja pienākumi:</w:t>
      </w:r>
    </w:p>
    <w:p w:rsidR="00B7251B" w:rsidRDefault="002B5E57">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Līgumā noteiktajā kārtībā savlaicīgi samaksāt par pieņemtajām, Līguma prasībām atbilstošajām Licencēm</w:t>
      </w:r>
      <w:r>
        <w:rPr>
          <w:rFonts w:ascii="Times New Roman" w:eastAsia="Calibri" w:hAnsi="Times New Roman" w:cs="Times New Roman"/>
          <w:sz w:val="24"/>
          <w:szCs w:val="24"/>
        </w:rPr>
        <w:t>.</w:t>
      </w:r>
    </w:p>
    <w:p w:rsidR="00B7251B" w:rsidRDefault="002B5E57">
      <w:pPr>
        <w:numPr>
          <w:ilvl w:val="1"/>
          <w:numId w:val="2"/>
        </w:numPr>
        <w:tabs>
          <w:tab w:val="left" w:pos="567"/>
        </w:tabs>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 tiesības:</w:t>
      </w:r>
    </w:p>
    <w:p w:rsidR="00B7251B" w:rsidRDefault="002B5E57">
      <w:pPr>
        <w:numPr>
          <w:ilvl w:val="2"/>
          <w:numId w:val="2"/>
        </w:numPr>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dot Piegādātājam saistošus norādījumus attiecībā uz Līguma izpildi;</w:t>
      </w:r>
    </w:p>
    <w:p w:rsidR="00B7251B" w:rsidRDefault="002B5E57">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saņemt no Piegādātāja informāciju un paskaidrojumus par Līguma izpildes gaitu un citiem Līguma izpildes jautājumiem;</w:t>
      </w:r>
    </w:p>
    <w:p w:rsidR="00B7251B" w:rsidRDefault="002B5E57">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pieņemt, saskaņā ar Līguma noteikumiem piegādātās, Līguma prasībām atbilstošās Licences;</w:t>
      </w:r>
    </w:p>
    <w:p w:rsidR="00B7251B" w:rsidRDefault="002B5E57">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laicīgi saņemt no Piegādātāja informāciju un paskaidrojumus par iespējamajiem vai paredzamajiem kavējumiem Līguma izpildē;</w:t>
      </w:r>
    </w:p>
    <w:p w:rsidR="00B7251B" w:rsidRDefault="002B5E57">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apturēt Līguma izpildi Līguma 3.4.punktā noteiktajos gadījumos;</w:t>
      </w:r>
    </w:p>
    <w:p w:rsidR="00B7251B" w:rsidRDefault="002B5E57">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apturēt un atlikt Līgumā paredzēto maksājumu ārējā normatīvajā aktā vai šajā Līgumā noteiktajos gadījumos.</w:t>
      </w:r>
    </w:p>
    <w:p w:rsidR="00B7251B" w:rsidRDefault="002B5E57">
      <w:pPr>
        <w:numPr>
          <w:ilvl w:val="1"/>
          <w:numId w:val="2"/>
        </w:numPr>
        <w:spacing w:after="0" w:line="240" w:lineRule="auto"/>
        <w:ind w:left="567" w:right="-766" w:hanging="567"/>
        <w:jc w:val="both"/>
        <w:rPr>
          <w:rFonts w:ascii="Times New Roman" w:eastAsia="Calibri" w:hAnsi="Times New Roman" w:cs="Times New Roman"/>
          <w:sz w:val="24"/>
          <w:szCs w:val="24"/>
        </w:rPr>
      </w:pPr>
      <w:r>
        <w:rPr>
          <w:rFonts w:ascii="Times New Roman" w:eastAsia="Times New Roman" w:hAnsi="Times New Roman" w:cs="Times New Roman"/>
          <w:sz w:val="24"/>
          <w:szCs w:val="24"/>
        </w:rPr>
        <w:t>Pasūtītājs atsaka pieņemt Līguma izpildījumu, ja piegādāta nekvalitatīva un Līguma noteikumiem neatbilstoša Prece.</w:t>
      </w:r>
    </w:p>
    <w:p w:rsidR="00B7251B" w:rsidRDefault="00B7251B">
      <w:pPr>
        <w:spacing w:after="0" w:line="240" w:lineRule="auto"/>
        <w:ind w:right="-766"/>
        <w:jc w:val="both"/>
        <w:rPr>
          <w:rFonts w:ascii="Times New Roman" w:eastAsia="Times New Roman" w:hAnsi="Times New Roman" w:cs="Times New Roman"/>
          <w:sz w:val="24"/>
          <w:szCs w:val="24"/>
        </w:rPr>
      </w:pPr>
    </w:p>
    <w:p w:rsidR="00B7251B" w:rsidRDefault="002B5E57">
      <w:pPr>
        <w:numPr>
          <w:ilvl w:val="0"/>
          <w:numId w:val="2"/>
        </w:numPr>
        <w:spacing w:after="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Konfidencialitāte</w:t>
      </w:r>
    </w:p>
    <w:p w:rsidR="00B7251B" w:rsidRDefault="002B5E57">
      <w:p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5.1.</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ab/>
      </w:r>
      <w:r>
        <w:rPr>
          <w:rFonts w:ascii="Times New Roman" w:eastAsia="Calibri" w:hAnsi="Times New Roman" w:cs="Times New Roman"/>
          <w:sz w:val="24"/>
          <w:szCs w:val="24"/>
        </w:rPr>
        <w:t xml:space="preserve">Konfidenciāla informācija Līguma ietvaros ir tāda </w:t>
      </w:r>
      <w:proofErr w:type="spellStart"/>
      <w:r>
        <w:rPr>
          <w:rFonts w:ascii="Times New Roman" w:eastAsia="Calibri" w:hAnsi="Times New Roman" w:cs="Times New Roman"/>
          <w:sz w:val="24"/>
          <w:szCs w:val="24"/>
        </w:rPr>
        <w:t>rakstveidā</w:t>
      </w:r>
      <w:proofErr w:type="spellEnd"/>
      <w:r>
        <w:rPr>
          <w:rFonts w:ascii="Times New Roman" w:eastAsia="Calibri" w:hAnsi="Times New Roman" w:cs="Times New Roman"/>
          <w:sz w:val="24"/>
          <w:szCs w:val="24"/>
        </w:rPr>
        <w:t xml:space="preserve"> vai citādā veidā fiksēta vai nefiksēta informācija, kurai ir faktiska vai potenciāla mantiska vai nemantiska vērtība, kuras nonākšana citu personu rīcībā var radīt zaudējumus kādai no Pusēm un attiecībā uz kuru Puse veikusi saprātīgus slepenības saglabāšanas pasākumus. Konfidenciāla informācija nav informācija, kas ir publiski pieejama. Puse neizpauž otras Puses konfidenciālo informāciju trešajām personām, un neizmanto to ne savā, ne trešo personu labā.</w:t>
      </w:r>
    </w:p>
    <w:p w:rsidR="00B7251B" w:rsidRDefault="002B5E57">
      <w:pPr>
        <w:spacing w:before="120" w:after="120" w:line="240" w:lineRule="auto"/>
        <w:ind w:left="567" w:right="-766" w:hanging="567"/>
        <w:contextualSpacing/>
        <w:jc w:val="both"/>
        <w:rPr>
          <w:rFonts w:ascii="Calibri" w:eastAsia="Calibri" w:hAnsi="Calibri" w:cs="Times New Roman"/>
        </w:rPr>
      </w:pPr>
      <w:r>
        <w:rPr>
          <w:rFonts w:ascii="Times New Roman" w:eastAsia="Calibri" w:hAnsi="Times New Roman" w:cs="Times New Roman"/>
          <w:bCs/>
          <w:sz w:val="24"/>
          <w:szCs w:val="24"/>
        </w:rPr>
        <w:t>5.2.</w:t>
      </w:r>
      <w:r>
        <w:rPr>
          <w:rFonts w:ascii="Times New Roman" w:eastAsia="Calibri" w:hAnsi="Times New Roman" w:cs="Times New Roman"/>
          <w:b/>
          <w:bCs/>
          <w:sz w:val="24"/>
          <w:szCs w:val="24"/>
        </w:rPr>
        <w:tab/>
      </w:r>
      <w:r>
        <w:rPr>
          <w:rFonts w:ascii="Times New Roman" w:eastAsia="Calibri" w:hAnsi="Times New Roman" w:cs="Times New Roman"/>
          <w:sz w:val="24"/>
          <w:szCs w:val="24"/>
        </w:rPr>
        <w:t>Puse nodod otras Puses konfidenciālu informāciju tikai tiem saviem darbiniekiem, kam tā nepieciešama Līguma izpildei, un apakšuzņēmējiem, kam tā neieciešama Līguma izpildei un kas pirms tam rakstiski apņēmušies turēt šo informāciju noslēpumā, neizpaust to trešajām personām un neizmantot to ne savā, ne citu personu labā. Citām personām konfidenciālu informāciju var nodot tikai pēc tam, kad Puses rakstiski vienojas par nododamās konfidenciālās informācijas saturu, apjomu un saņēmēju, kā arī tad, ja šādu informāciju sniegt ir pienākums saskaņā ar Latvijas Republikas normatīvajiem aktiem. Puse pēc otras Puses pieprasījuma iesniedz sarakstu ar visu to personu vārdiem un uzvārdiem, kam nodota Puses konfidenciālā informācija</w:t>
      </w:r>
      <w:r>
        <w:rPr>
          <w:rFonts w:eastAsia="Calibri" w:cs="Times New Roman"/>
        </w:rPr>
        <w:t>.</w:t>
      </w:r>
    </w:p>
    <w:p w:rsidR="00B7251B" w:rsidRDefault="00B7251B">
      <w:pPr>
        <w:spacing w:before="120" w:after="120" w:line="240" w:lineRule="auto"/>
        <w:ind w:right="-766"/>
        <w:contextualSpacing/>
        <w:jc w:val="both"/>
        <w:rPr>
          <w:rFonts w:ascii="Times New Roman" w:eastAsia="Calibri" w:hAnsi="Times New Roman" w:cs="Times New Roman"/>
          <w:b/>
          <w:bCs/>
          <w:sz w:val="24"/>
          <w:szCs w:val="24"/>
        </w:rPr>
      </w:pPr>
    </w:p>
    <w:p w:rsidR="00B7251B" w:rsidRDefault="002B5E57">
      <w:pPr>
        <w:numPr>
          <w:ilvl w:val="0"/>
          <w:numId w:val="2"/>
        </w:numPr>
        <w:spacing w:before="120" w:after="120" w:line="240" w:lineRule="auto"/>
        <w:ind w:right="-766"/>
        <w:contextualSpacing/>
        <w:jc w:val="center"/>
        <w:rPr>
          <w:rFonts w:ascii="Times New Roman" w:eastAsia="Calibri" w:hAnsi="Times New Roman" w:cs="Times New Roman"/>
          <w:b/>
          <w:bCs/>
          <w:sz w:val="24"/>
          <w:szCs w:val="24"/>
        </w:rPr>
      </w:pPr>
      <w:r>
        <w:rPr>
          <w:rFonts w:ascii="Times New Roman" w:eastAsia="Times New Roman" w:hAnsi="Times New Roman" w:cs="Times New Roman"/>
          <w:b/>
          <w:bCs/>
          <w:sz w:val="24"/>
          <w:szCs w:val="24"/>
        </w:rPr>
        <w:t>Pušu atbildība</w:t>
      </w:r>
    </w:p>
    <w:p w:rsidR="00B7251B" w:rsidRDefault="002B5E57">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B7251B" w:rsidRDefault="002B5E57">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lv-LV"/>
        </w:rPr>
        <w:t>Par Licenču piegādes termiņa kavēšanu vai citu Līgumā noteikto saistību nepildīšanu Pasūtītājs ir tiesīgs piemērot Piegādātājam līgumsodu 0.1% apmērā no kopējās Līguma summas par katru nokavējuma dienu, bet ne vairāk kā 10% no kopējās Līguma summas</w:t>
      </w:r>
      <w:r>
        <w:rPr>
          <w:rFonts w:ascii="Times New Roman" w:eastAsia="Times New Roman" w:hAnsi="Times New Roman" w:cs="Times New Roman"/>
          <w:sz w:val="24"/>
          <w:szCs w:val="24"/>
        </w:rPr>
        <w:t>.</w:t>
      </w:r>
    </w:p>
    <w:p w:rsidR="00B7251B" w:rsidRDefault="002B5E57">
      <w:pPr>
        <w:numPr>
          <w:ilvl w:val="1"/>
          <w:numId w:val="3"/>
        </w:numPr>
        <w:tabs>
          <w:tab w:val="left" w:pos="567"/>
        </w:tabs>
        <w:spacing w:after="0" w:line="240" w:lineRule="auto"/>
        <w:ind w:left="567"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Pr>
          <w:rFonts w:ascii="Times New Roman" w:eastAsia="Times New Roman" w:hAnsi="Times New Roman" w:cs="Times New Roman"/>
          <w:color w:val="000000"/>
          <w:sz w:val="24"/>
          <w:szCs w:val="24"/>
        </w:rPr>
        <w:t xml:space="preserve"> </w:t>
      </w:r>
    </w:p>
    <w:p w:rsidR="00B7251B" w:rsidRDefault="002B5E57">
      <w:pPr>
        <w:numPr>
          <w:ilvl w:val="1"/>
          <w:numId w:val="3"/>
        </w:numPr>
        <w:tabs>
          <w:tab w:val="left" w:pos="567"/>
        </w:tabs>
        <w:spacing w:after="0" w:line="240" w:lineRule="auto"/>
        <w:ind w:left="567"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B7251B" w:rsidRDefault="002B5E57">
      <w:pPr>
        <w:numPr>
          <w:ilvl w:val="1"/>
          <w:numId w:val="3"/>
        </w:numPr>
        <w:spacing w:after="0" w:line="240" w:lineRule="auto"/>
        <w:ind w:left="567"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Līgumsoda samaksa neatbrīvo Puses no turpmākas saistību izpildes pienākuma un netiek ieskaitīta zaudējumu atlīdzībā.</w:t>
      </w:r>
    </w:p>
    <w:p w:rsidR="00B7251B" w:rsidRDefault="00B7251B">
      <w:pPr>
        <w:spacing w:after="0" w:line="240" w:lineRule="auto"/>
        <w:ind w:right="-766"/>
        <w:jc w:val="both"/>
        <w:rPr>
          <w:rFonts w:ascii="Times New Roman" w:eastAsia="Times New Roman" w:hAnsi="Times New Roman" w:cs="Times New Roman"/>
          <w:sz w:val="24"/>
          <w:szCs w:val="24"/>
        </w:rPr>
      </w:pPr>
    </w:p>
    <w:p w:rsidR="00B7251B" w:rsidRDefault="002B5E57">
      <w:pPr>
        <w:numPr>
          <w:ilvl w:val="0"/>
          <w:numId w:val="3"/>
        </w:numPr>
        <w:spacing w:before="120" w:after="120" w:line="240" w:lineRule="auto"/>
        <w:ind w:right="-76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Nepārvarama vara</w:t>
      </w:r>
    </w:p>
    <w:p w:rsidR="00B7251B" w:rsidRDefault="002B5E57">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w:t>
      </w:r>
      <w:r>
        <w:rPr>
          <w:rFonts w:ascii="Times New Roman" w:eastAsia="Times New Roman" w:hAnsi="Times New Roman" w:cs="Times New Roman"/>
          <w:sz w:val="24"/>
          <w:szCs w:val="24"/>
          <w:lang w:eastAsia="lv-LV"/>
        </w:rPr>
        <w:lastRenderedPageBreak/>
        <w:t>pieņemtie normatīvie akti un norādījumi un citi apstākļi, kas neiekļaujas Pušu iespējamās kontroles robežās u.c.)</w:t>
      </w:r>
      <w:r>
        <w:rPr>
          <w:rFonts w:ascii="Times New Roman" w:eastAsia="Times New Roman" w:hAnsi="Times New Roman" w:cs="Times New Roman"/>
          <w:sz w:val="24"/>
          <w:szCs w:val="24"/>
        </w:rPr>
        <w:t>.</w:t>
      </w:r>
    </w:p>
    <w:p w:rsidR="00B7251B" w:rsidRDefault="002B5E57">
      <w:pPr>
        <w:numPr>
          <w:ilvl w:val="1"/>
          <w:numId w:val="3"/>
        </w:numPr>
        <w:spacing w:after="0" w:line="240" w:lineRule="auto"/>
        <w:ind w:left="567"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Par nepārvaramas varas apstākli nevar tikt atzīts Izpildītāja un citu iesaistīto personu saistību neizpilde vai nesavlaicīga izpilde</w:t>
      </w:r>
      <w:r>
        <w:rPr>
          <w:rFonts w:ascii="Times New Roman" w:eastAsia="Times New Roman" w:hAnsi="Times New Roman" w:cs="Times New Roman"/>
          <w:sz w:val="24"/>
          <w:szCs w:val="24"/>
        </w:rPr>
        <w:t>.</w:t>
      </w:r>
    </w:p>
    <w:p w:rsidR="00B7251B" w:rsidRDefault="002B5E57">
      <w:pPr>
        <w:numPr>
          <w:ilvl w:val="1"/>
          <w:numId w:val="3"/>
        </w:numPr>
        <w:spacing w:after="0" w:line="240" w:lineRule="auto"/>
        <w:ind w:left="567"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B7251B" w:rsidRDefault="002B5E57">
      <w:pPr>
        <w:numPr>
          <w:ilvl w:val="1"/>
          <w:numId w:val="3"/>
        </w:numPr>
        <w:spacing w:after="0" w:line="240" w:lineRule="auto"/>
        <w:ind w:left="567" w:right="-766" w:hanging="567"/>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lang w:eastAsia="lv-LV"/>
        </w:rPr>
        <w:t xml:space="preserve">Ar rakstisku vienošanos </w:t>
      </w:r>
      <w:r>
        <w:rPr>
          <w:rFonts w:ascii="Times New Roman" w:eastAsia="Times New Roman" w:hAnsi="Times New Roman" w:cs="Times New Roman"/>
          <w:bCs/>
          <w:iCs/>
          <w:sz w:val="24"/>
          <w:szCs w:val="24"/>
          <w:lang w:eastAsia="lv-LV"/>
        </w:rPr>
        <w:t>Puses</w:t>
      </w:r>
      <w:r>
        <w:rPr>
          <w:rFonts w:ascii="Times New Roman" w:eastAsia="Times New Roman" w:hAnsi="Times New Roman" w:cs="Times New Roman"/>
          <w:iCs/>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Pr>
          <w:rFonts w:ascii="Times New Roman" w:eastAsia="Times New Roman" w:hAnsi="Times New Roman" w:cs="Times New Roman"/>
          <w:bCs/>
          <w:iCs/>
          <w:sz w:val="24"/>
          <w:szCs w:val="24"/>
          <w:lang w:eastAsia="lv-LV"/>
        </w:rPr>
        <w:t>Puses</w:t>
      </w:r>
      <w:r>
        <w:rPr>
          <w:rFonts w:ascii="Times New Roman" w:eastAsia="Times New Roman" w:hAnsi="Times New Roman" w:cs="Times New Roman"/>
          <w:b/>
          <w:bCs/>
          <w:iCs/>
          <w:sz w:val="24"/>
          <w:szCs w:val="24"/>
          <w:lang w:eastAsia="lv-LV"/>
        </w:rPr>
        <w:t xml:space="preserve"> </w:t>
      </w:r>
      <w:r>
        <w:rPr>
          <w:rFonts w:ascii="Times New Roman" w:eastAsia="Times New Roman" w:hAnsi="Times New Roman" w:cs="Times New Roman"/>
          <w:iCs/>
          <w:sz w:val="24"/>
          <w:szCs w:val="24"/>
          <w:lang w:eastAsia="lv-LV"/>
        </w:rPr>
        <w:t>apņemas līgumsaistību termiņu pagarināt atbilstoši tam laika posmam, kas būs vienāds ar iepriekš minēto apstākļu izraisīto kavēšanos.</w:t>
      </w:r>
    </w:p>
    <w:p w:rsidR="00B7251B" w:rsidRDefault="002B5E57">
      <w:pPr>
        <w:numPr>
          <w:ilvl w:val="1"/>
          <w:numId w:val="3"/>
        </w:numPr>
        <w:spacing w:after="0" w:line="240" w:lineRule="auto"/>
        <w:ind w:left="567" w:right="-766" w:hanging="567"/>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Pr>
          <w:rFonts w:ascii="Times New Roman" w:eastAsia="Times New Roman" w:hAnsi="Times New Roman" w:cs="Times New Roman"/>
          <w:bCs/>
          <w:iCs/>
          <w:sz w:val="24"/>
          <w:szCs w:val="24"/>
          <w:lang w:eastAsia="lv-LV"/>
        </w:rPr>
        <w:t>Pusei</w:t>
      </w:r>
      <w:r>
        <w:rPr>
          <w:rFonts w:ascii="Times New Roman" w:eastAsia="Times New Roman" w:hAnsi="Times New Roman" w:cs="Times New Roman"/>
          <w:b/>
          <w:bCs/>
          <w:iCs/>
          <w:sz w:val="24"/>
          <w:szCs w:val="24"/>
          <w:lang w:eastAsia="lv-LV"/>
        </w:rPr>
        <w:t xml:space="preserve"> </w:t>
      </w:r>
      <w:r>
        <w:rPr>
          <w:rFonts w:ascii="Times New Roman" w:eastAsia="Times New Roman" w:hAnsi="Times New Roman" w:cs="Times New Roman"/>
          <w:iCs/>
          <w:sz w:val="24"/>
          <w:szCs w:val="24"/>
          <w:lang w:eastAsia="lv-LV"/>
        </w:rPr>
        <w:t>ir jāatdod otrai tas, ko tā izpildījusi vai par izpildīto jāatlīdzina.</w:t>
      </w:r>
    </w:p>
    <w:p w:rsidR="00B7251B" w:rsidRDefault="002B5E57">
      <w:pPr>
        <w:numPr>
          <w:ilvl w:val="1"/>
          <w:numId w:val="3"/>
        </w:numPr>
        <w:spacing w:after="0" w:line="240" w:lineRule="auto"/>
        <w:ind w:left="567"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Par zaudējumiem, kas radušies nepārvaramas varas apstākļu dēļ, neviena no Pusēm atbildību nenes, ja Puse ir informējusi otru Pusi atbilstoši līguma 6.3.punktam.</w:t>
      </w:r>
    </w:p>
    <w:p w:rsidR="00B7251B" w:rsidRDefault="00B7251B">
      <w:pPr>
        <w:spacing w:after="0" w:line="240" w:lineRule="auto"/>
        <w:ind w:right="-766"/>
        <w:jc w:val="both"/>
        <w:rPr>
          <w:rFonts w:ascii="Times New Roman" w:eastAsia="Times New Roman" w:hAnsi="Times New Roman" w:cs="Times New Roman"/>
          <w:sz w:val="24"/>
          <w:szCs w:val="24"/>
        </w:rPr>
      </w:pPr>
    </w:p>
    <w:p w:rsidR="00B7251B" w:rsidRDefault="002B5E57">
      <w:pPr>
        <w:numPr>
          <w:ilvl w:val="0"/>
          <w:numId w:val="3"/>
        </w:numPr>
        <w:spacing w:before="120" w:after="120" w:line="240" w:lineRule="auto"/>
        <w:ind w:right="-76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Strīdu izskatīšanas kārtība</w:t>
      </w:r>
    </w:p>
    <w:p w:rsidR="00B7251B" w:rsidRDefault="002B5E57">
      <w:pPr>
        <w:numPr>
          <w:ilvl w:val="1"/>
          <w:numId w:val="3"/>
        </w:numPr>
        <w:spacing w:before="120" w:after="120" w:line="240" w:lineRule="auto"/>
        <w:ind w:left="567" w:right="-766"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Pr>
          <w:rFonts w:ascii="Times New Roman" w:eastAsia="Times New Roman" w:hAnsi="Times New Roman" w:cs="Times New Roman"/>
          <w:sz w:val="24"/>
          <w:szCs w:val="24"/>
        </w:rPr>
        <w:t>rakstveidā</w:t>
      </w:r>
      <w:proofErr w:type="spellEnd"/>
      <w:r>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B7251B" w:rsidRDefault="002B5E57">
      <w:pPr>
        <w:numPr>
          <w:ilvl w:val="1"/>
          <w:numId w:val="3"/>
        </w:numPr>
        <w:spacing w:before="120" w:after="120" w:line="240" w:lineRule="auto"/>
        <w:ind w:left="567" w:right="-766"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Jautājumos, kas nav tiešā veidā paredzēti Līgumā, Puses risina saskaņā ar spēkā esošajiem normatīvajiem aktiem.</w:t>
      </w:r>
    </w:p>
    <w:p w:rsidR="00B7251B" w:rsidRDefault="00B7251B">
      <w:pPr>
        <w:spacing w:before="120" w:after="120" w:line="240" w:lineRule="auto"/>
        <w:ind w:left="567" w:right="-766"/>
        <w:contextualSpacing/>
        <w:jc w:val="both"/>
        <w:rPr>
          <w:rFonts w:ascii="Times New Roman" w:eastAsia="Times New Roman" w:hAnsi="Times New Roman" w:cs="Times New Roman"/>
          <w:sz w:val="24"/>
          <w:szCs w:val="24"/>
        </w:rPr>
      </w:pPr>
    </w:p>
    <w:p w:rsidR="00B7251B" w:rsidRDefault="002B5E57">
      <w:pPr>
        <w:numPr>
          <w:ilvl w:val="0"/>
          <w:numId w:val="3"/>
        </w:numPr>
        <w:spacing w:before="120" w:after="120" w:line="240" w:lineRule="auto"/>
        <w:ind w:right="-766" w:hanging="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Citi noteikumi</w:t>
      </w:r>
    </w:p>
    <w:p w:rsidR="00B7251B" w:rsidRDefault="002B5E57">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B7251B" w:rsidRDefault="002B5E57">
      <w:pPr>
        <w:numPr>
          <w:ilvl w:val="1"/>
          <w:numId w:val="3"/>
        </w:numPr>
        <w:spacing w:after="0" w:line="240" w:lineRule="auto"/>
        <w:ind w:left="567"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B7251B" w:rsidRDefault="002B5E57">
      <w:pPr>
        <w:numPr>
          <w:ilvl w:val="1"/>
          <w:numId w:val="3"/>
        </w:numPr>
        <w:spacing w:after="0" w:line="240" w:lineRule="auto"/>
        <w:ind w:left="567"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Jebkuri Līguma grozījumi tiek noformēti </w:t>
      </w:r>
      <w:proofErr w:type="spellStart"/>
      <w:r>
        <w:rPr>
          <w:rFonts w:ascii="Times New Roman" w:eastAsia="Times New Roman" w:hAnsi="Times New Roman" w:cs="Times New Roman"/>
          <w:sz w:val="24"/>
          <w:szCs w:val="24"/>
        </w:rPr>
        <w:t>rakstveidā</w:t>
      </w:r>
      <w:proofErr w:type="spellEnd"/>
      <w:r>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B7251B" w:rsidRDefault="002B5E57">
      <w:pPr>
        <w:numPr>
          <w:ilvl w:val="1"/>
          <w:numId w:val="3"/>
        </w:numPr>
        <w:spacing w:after="0" w:line="240" w:lineRule="auto"/>
        <w:ind w:left="567"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Puses ir tiesīgas </w:t>
      </w:r>
      <w:proofErr w:type="spellStart"/>
      <w:r>
        <w:rPr>
          <w:rFonts w:ascii="Times New Roman" w:eastAsia="Times New Roman" w:hAnsi="Times New Roman" w:cs="Times New Roman"/>
          <w:sz w:val="24"/>
          <w:szCs w:val="24"/>
        </w:rPr>
        <w:t>rakstveidā</w:t>
      </w:r>
      <w:proofErr w:type="spellEnd"/>
      <w:r>
        <w:rPr>
          <w:rFonts w:ascii="Times New Roman" w:eastAsia="Times New Roman" w:hAnsi="Times New Roman" w:cs="Times New Roman"/>
          <w:sz w:val="24"/>
          <w:szCs w:val="24"/>
        </w:rPr>
        <w:t xml:space="preserve"> vienoties par līguma termiņa pagarinājumu vai Līguma kopējās summas palielinājumu atbilstoši Publisko iepirkumu likumā noteiktajam.</w:t>
      </w:r>
    </w:p>
    <w:p w:rsidR="00B7251B" w:rsidRDefault="002B5E57">
      <w:pPr>
        <w:numPr>
          <w:ilvl w:val="1"/>
          <w:numId w:val="3"/>
        </w:numPr>
        <w:spacing w:after="0" w:line="240" w:lineRule="auto"/>
        <w:ind w:left="567"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B7251B" w:rsidRDefault="002B5E57">
      <w:pPr>
        <w:numPr>
          <w:ilvl w:val="1"/>
          <w:numId w:val="3"/>
        </w:numPr>
        <w:spacing w:after="0" w:line="240" w:lineRule="auto"/>
        <w:ind w:left="567"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kādai no Pusēm tiek mainīti rekvizīti vai Līguma 9.10.punktā noteiktās Pušu kontaktpersonas vai to kontaktinformācija, attiecīgā Puse 5 (piecu) darba dienu laikā no notikušo izmaiņu iestāšanās rakstiski paziņo par to otrai Pusei. Ja Puse neizpilda šī punkta </w:t>
      </w:r>
      <w:r>
        <w:rPr>
          <w:rFonts w:ascii="Times New Roman" w:eastAsia="Times New Roman" w:hAnsi="Times New Roman" w:cs="Times New Roman"/>
          <w:sz w:val="24"/>
          <w:szCs w:val="24"/>
        </w:rPr>
        <w:lastRenderedPageBreak/>
        <w:t>nosacījumus, uzskatāms, ka otra Puse ir pilnībā izpildījusi savas saistības, lietojot Līgumā esošo informāciju attiecībā pret otras Puses sniegto informāciju.</w:t>
      </w:r>
    </w:p>
    <w:p w:rsidR="00B7251B" w:rsidRDefault="002B5E57">
      <w:pPr>
        <w:numPr>
          <w:ilvl w:val="1"/>
          <w:numId w:val="3"/>
        </w:numPr>
        <w:spacing w:after="0" w:line="240" w:lineRule="auto"/>
        <w:ind w:left="567"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B7251B" w:rsidRDefault="002B5E57">
      <w:pPr>
        <w:numPr>
          <w:ilvl w:val="1"/>
          <w:numId w:val="3"/>
        </w:numPr>
        <w:spacing w:after="0" w:line="240" w:lineRule="auto"/>
        <w:ind w:left="709"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B7251B" w:rsidRDefault="002B5E57">
      <w:pPr>
        <w:numPr>
          <w:ilvl w:val="1"/>
          <w:numId w:val="3"/>
        </w:numPr>
        <w:spacing w:after="0" w:line="240" w:lineRule="auto"/>
        <w:ind w:left="709"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Puses nav tiesīgas nodot savas tiesības un saistības, kas saistītas ar Līgumu un izriet no tā, trešajai personai.</w:t>
      </w:r>
    </w:p>
    <w:p w:rsidR="00B7251B" w:rsidRDefault="002B5E57">
      <w:pPr>
        <w:numPr>
          <w:ilvl w:val="1"/>
          <w:numId w:val="3"/>
        </w:numPr>
        <w:spacing w:after="0" w:line="240" w:lineRule="auto"/>
        <w:ind w:left="709"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Pušu kontaktpersonas: </w:t>
      </w:r>
    </w:p>
    <w:p w:rsidR="00B7251B" w:rsidRDefault="002B5E57">
      <w:pPr>
        <w:numPr>
          <w:ilvl w:val="2"/>
          <w:numId w:val="3"/>
        </w:numPr>
        <w:spacing w:after="0" w:line="240" w:lineRule="auto"/>
        <w:ind w:left="851" w:right="-766" w:hanging="851"/>
        <w:contextualSpacing/>
        <w:jc w:val="both"/>
      </w:pPr>
      <w:r>
        <w:rPr>
          <w:rFonts w:ascii="Times New Roman" w:eastAsia="Times New Roman" w:hAnsi="Times New Roman" w:cs="Times New Roman"/>
          <w:sz w:val="24"/>
          <w:szCs w:val="24"/>
        </w:rPr>
        <w:t xml:space="preserve">no Pasūtītāja puses: Kārlis Bētiņš, tālrunis: </w:t>
      </w:r>
      <w:r>
        <w:rPr>
          <w:rFonts w:ascii="Times New Roman" w:eastAsia="Times New Roman" w:hAnsi="Times New Roman" w:cs="Times New Roman"/>
          <w:sz w:val="24"/>
          <w:szCs w:val="24"/>
          <w:lang w:val="en-GB"/>
        </w:rPr>
        <w:t>29417489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67069693,</w:t>
      </w:r>
      <w:r>
        <w:rPr>
          <w:rFonts w:ascii="Times New Roman" w:eastAsia="Times New Roman" w:hAnsi="Times New Roman" w:cs="Times New Roman"/>
          <w:color w:val="1F497D"/>
          <w:sz w:val="24"/>
          <w:szCs w:val="24"/>
          <w:lang w:val="en-GB"/>
        </w:rPr>
        <w:t xml:space="preserve"> </w:t>
      </w:r>
      <w:r>
        <w:rPr>
          <w:rFonts w:ascii="Times New Roman" w:eastAsia="Times New Roman" w:hAnsi="Times New Roman" w:cs="Times New Roman"/>
          <w:sz w:val="24"/>
          <w:szCs w:val="24"/>
        </w:rPr>
        <w:t xml:space="preserve">e-pasts: </w:t>
      </w:r>
      <w:hyperlink r:id="rId8">
        <w:r>
          <w:rPr>
            <w:rStyle w:val="InternetLink"/>
            <w:rFonts w:ascii="Times New Roman" w:eastAsia="Times New Roman" w:hAnsi="Times New Roman" w:cs="Times New Roman"/>
            <w:color w:val="0000FF"/>
            <w:sz w:val="24"/>
            <w:szCs w:val="24"/>
          </w:rPr>
          <w:t>karlis.betins@stradini.lv</w:t>
        </w:r>
      </w:hyperlink>
      <w:r>
        <w:rPr>
          <w:rFonts w:ascii="Times New Roman" w:eastAsia="Calibri" w:hAnsi="Times New Roman" w:cs="Times New Roman"/>
          <w:sz w:val="24"/>
          <w:szCs w:val="24"/>
        </w:rPr>
        <w:t>.</w:t>
      </w:r>
    </w:p>
    <w:p w:rsidR="00B7251B" w:rsidRDefault="002B5E57">
      <w:pPr>
        <w:numPr>
          <w:ilvl w:val="2"/>
          <w:numId w:val="3"/>
        </w:numPr>
        <w:spacing w:after="0" w:line="240" w:lineRule="auto"/>
        <w:ind w:left="851" w:right="-766" w:hanging="851"/>
        <w:contextualSpacing/>
        <w:jc w:val="both"/>
      </w:pPr>
      <w:r>
        <w:rPr>
          <w:rFonts w:ascii="Times New Roman" w:eastAsia="Times New Roman" w:hAnsi="Times New Roman" w:cs="Times New Roman"/>
          <w:sz w:val="24"/>
          <w:szCs w:val="24"/>
        </w:rPr>
        <w:t xml:space="preserve">no Piegādātāja puses: Anrijs Grosbergs, tālrunis: 29512850, 67815557, e-pasts: </w:t>
      </w:r>
      <w:hyperlink r:id="rId9">
        <w:r>
          <w:rPr>
            <w:rStyle w:val="InternetLink"/>
            <w:rFonts w:ascii="Times New Roman" w:eastAsia="Times New Roman" w:hAnsi="Times New Roman" w:cs="Times New Roman"/>
            <w:sz w:val="24"/>
            <w:szCs w:val="24"/>
          </w:rPr>
          <w:t>ag@entrons.lv</w:t>
        </w:r>
      </w:hyperlink>
      <w:r>
        <w:rPr>
          <w:rFonts w:ascii="Times New Roman" w:eastAsia="Times New Roman" w:hAnsi="Times New Roman" w:cs="Times New Roman"/>
          <w:sz w:val="24"/>
          <w:szCs w:val="24"/>
        </w:rPr>
        <w:t>.</w:t>
      </w:r>
      <w:r>
        <w:rPr>
          <w:rFonts w:ascii="Times New Roman" w:eastAsia="Calibri" w:hAnsi="Times New Roman" w:cs="Times New Roman"/>
          <w:sz w:val="24"/>
          <w:szCs w:val="24"/>
        </w:rPr>
        <w:tab/>
      </w:r>
    </w:p>
    <w:p w:rsidR="00B7251B" w:rsidRDefault="002B5E57">
      <w:pPr>
        <w:numPr>
          <w:ilvl w:val="1"/>
          <w:numId w:val="3"/>
        </w:numPr>
        <w:spacing w:after="0" w:line="240" w:lineRule="auto"/>
        <w:ind w:left="709"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Līgums sagatavots latviešu valodā, parakstīts divos oriģinālos eksemplāros uz 9 (deviņām) lapām, abi eksemplāri ir ar vienādu juridisko spēku. Viens no Līguma eksemplāriem atrodas pie Pasūtītāja, bet otrs – pie Piegādātāja.</w:t>
      </w:r>
    </w:p>
    <w:p w:rsidR="00B7251B" w:rsidRDefault="00B7251B">
      <w:pPr>
        <w:spacing w:after="0" w:line="240" w:lineRule="auto"/>
        <w:ind w:left="709" w:right="-766"/>
        <w:jc w:val="both"/>
        <w:rPr>
          <w:rFonts w:ascii="Times New Roman" w:eastAsia="Times New Roman" w:hAnsi="Times New Roman" w:cs="Times New Roman"/>
          <w:sz w:val="24"/>
          <w:szCs w:val="24"/>
        </w:rPr>
      </w:pPr>
    </w:p>
    <w:p w:rsidR="00B7251B" w:rsidRDefault="002B5E57">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Pušu juridiskās adreses un rekvizīti:</w:t>
      </w:r>
    </w:p>
    <w:p w:rsidR="00B7251B" w:rsidRDefault="00B7251B">
      <w:pPr>
        <w:spacing w:before="120" w:after="120" w:line="240" w:lineRule="auto"/>
        <w:ind w:left="360" w:right="-1"/>
        <w:rPr>
          <w:rFonts w:ascii="Times New Roman" w:eastAsia="Times New Roman" w:hAnsi="Times New Roman" w:cs="Times New Roman"/>
          <w:b/>
          <w:bCs/>
          <w:sz w:val="24"/>
          <w:szCs w:val="24"/>
        </w:rPr>
      </w:pPr>
    </w:p>
    <w:tbl>
      <w:tblPr>
        <w:tblW w:w="9194" w:type="dxa"/>
        <w:tblInd w:w="-106" w:type="dxa"/>
        <w:tblLook w:val="01E0" w:firstRow="1" w:lastRow="1" w:firstColumn="1" w:lastColumn="1" w:noHBand="0" w:noVBand="0"/>
      </w:tblPr>
      <w:tblGrid>
        <w:gridCol w:w="4583"/>
        <w:gridCol w:w="4611"/>
      </w:tblGrid>
      <w:tr w:rsidR="00B7251B">
        <w:trPr>
          <w:trHeight w:val="116"/>
        </w:trPr>
        <w:tc>
          <w:tcPr>
            <w:tcW w:w="4583" w:type="dxa"/>
            <w:shd w:val="clear" w:color="auto" w:fill="auto"/>
          </w:tcPr>
          <w:p w:rsidR="00B7251B" w:rsidRDefault="002B5E57">
            <w:pPr>
              <w:tabs>
                <w:tab w:val="left" w:pos="2160"/>
              </w:tabs>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rsidR="00B7251B" w:rsidRDefault="002B5E57">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rsidR="00B7251B" w:rsidRDefault="002B5E57">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rsidR="00B7251B" w:rsidRDefault="002B5E57">
            <w:pPr>
              <w:tabs>
                <w:tab w:val="left" w:pos="2160"/>
              </w:tabs>
              <w:spacing w:after="0" w:line="240"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Reģ</w:t>
            </w:r>
            <w:proofErr w:type="spellEnd"/>
            <w:r>
              <w:rPr>
                <w:rFonts w:ascii="Times New Roman" w:eastAsia="Times New Roman" w:hAnsi="Times New Roman" w:cs="Times New Roman"/>
                <w:bCs/>
                <w:sz w:val="24"/>
                <w:szCs w:val="24"/>
              </w:rPr>
              <w:t>. Nr. 40003457109</w:t>
            </w:r>
          </w:p>
          <w:p w:rsidR="00B7251B" w:rsidRDefault="002B5E57">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Pilsoņu iela 13, Rīga, LV - 1002</w:t>
            </w:r>
          </w:p>
          <w:p w:rsidR="00B7251B" w:rsidRDefault="002B5E57">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Konta Nr. LV74HABA0551027673367</w:t>
            </w:r>
          </w:p>
          <w:p w:rsidR="00B7251B" w:rsidRDefault="002B5E57">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Banka: AS Swedbank </w:t>
            </w:r>
          </w:p>
          <w:p w:rsidR="00B7251B" w:rsidRDefault="002B5E57">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Kods: HABALV22</w:t>
            </w:r>
          </w:p>
          <w:p w:rsidR="00B7251B" w:rsidRDefault="00B7251B">
            <w:pPr>
              <w:tabs>
                <w:tab w:val="left" w:pos="2160"/>
              </w:tabs>
              <w:spacing w:after="0" w:line="240" w:lineRule="auto"/>
              <w:ind w:right="-1"/>
              <w:jc w:val="both"/>
              <w:rPr>
                <w:rFonts w:ascii="Times New Roman" w:eastAsia="Times New Roman" w:hAnsi="Times New Roman" w:cs="Times New Roman"/>
                <w:bCs/>
                <w:sz w:val="24"/>
                <w:szCs w:val="24"/>
              </w:rPr>
            </w:pPr>
          </w:p>
          <w:p w:rsidR="00B7251B" w:rsidRDefault="00B7251B">
            <w:pPr>
              <w:tabs>
                <w:tab w:val="left" w:pos="2160"/>
              </w:tabs>
              <w:spacing w:after="0" w:line="240" w:lineRule="auto"/>
              <w:ind w:right="-1"/>
              <w:jc w:val="both"/>
              <w:rPr>
                <w:rFonts w:ascii="Times New Roman" w:eastAsia="Times New Roman" w:hAnsi="Times New Roman" w:cs="Times New Roman"/>
                <w:bCs/>
                <w:sz w:val="24"/>
                <w:szCs w:val="24"/>
              </w:rPr>
            </w:pPr>
          </w:p>
          <w:p w:rsidR="00B7251B" w:rsidRDefault="002B5E57">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B7251B" w:rsidRDefault="002B5E57">
            <w:pPr>
              <w:tabs>
                <w:tab w:val="left" w:pos="2160"/>
              </w:tabs>
              <w:spacing w:after="0" w:line="240"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B7251B" w:rsidRDefault="00B7251B">
            <w:pPr>
              <w:tabs>
                <w:tab w:val="left" w:pos="2160"/>
              </w:tabs>
              <w:spacing w:after="0" w:line="240" w:lineRule="auto"/>
              <w:ind w:right="-1"/>
              <w:jc w:val="both"/>
              <w:rPr>
                <w:rFonts w:ascii="Times New Roman" w:eastAsia="Times New Roman" w:hAnsi="Times New Roman" w:cs="Times New Roman"/>
                <w:bCs/>
                <w:sz w:val="24"/>
                <w:szCs w:val="24"/>
              </w:rPr>
            </w:pPr>
          </w:p>
          <w:p w:rsidR="00B7251B" w:rsidRDefault="00B7251B">
            <w:pPr>
              <w:tabs>
                <w:tab w:val="left" w:pos="2160"/>
              </w:tabs>
              <w:spacing w:after="0" w:line="240" w:lineRule="auto"/>
              <w:ind w:right="-1"/>
              <w:jc w:val="both"/>
              <w:rPr>
                <w:rFonts w:ascii="Times New Roman" w:eastAsia="Times New Roman" w:hAnsi="Times New Roman" w:cs="Times New Roman"/>
                <w:bCs/>
                <w:sz w:val="24"/>
                <w:szCs w:val="24"/>
              </w:rPr>
            </w:pPr>
          </w:p>
          <w:p w:rsidR="00B7251B" w:rsidRDefault="00B7251B">
            <w:pPr>
              <w:tabs>
                <w:tab w:val="left" w:pos="1089"/>
              </w:tabs>
              <w:spacing w:after="0" w:line="240" w:lineRule="auto"/>
              <w:ind w:right="-1"/>
              <w:jc w:val="both"/>
              <w:rPr>
                <w:rFonts w:ascii="Times New Roman" w:eastAsia="Times New Roman" w:hAnsi="Times New Roman" w:cs="Times New Roman"/>
                <w:bCs/>
                <w:sz w:val="24"/>
                <w:szCs w:val="24"/>
              </w:rPr>
            </w:pPr>
          </w:p>
        </w:tc>
        <w:tc>
          <w:tcPr>
            <w:tcW w:w="4610" w:type="dxa"/>
            <w:shd w:val="clear" w:color="auto" w:fill="auto"/>
          </w:tcPr>
          <w:p w:rsidR="00B7251B" w:rsidRDefault="002B5E57">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p>
          <w:p w:rsidR="00B7251B" w:rsidRDefault="002B5E57">
            <w:pPr>
              <w:spacing w:after="0" w:line="240" w:lineRule="auto"/>
              <w:ind w:right="-1"/>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SIA “ENTRONS”</w:t>
            </w:r>
          </w:p>
          <w:p w:rsidR="00B7251B" w:rsidRDefault="002B5E57">
            <w:pPr>
              <w:spacing w:after="0" w:line="240" w:lineRule="auto"/>
              <w:ind w:right="-1"/>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Reģ</w:t>
            </w:r>
            <w:proofErr w:type="spellEnd"/>
            <w:r>
              <w:rPr>
                <w:rFonts w:ascii="Times New Roman" w:eastAsia="Times New Roman" w:hAnsi="Times New Roman" w:cs="Times New Roman"/>
                <w:color w:val="00000A"/>
                <w:sz w:val="24"/>
                <w:szCs w:val="24"/>
              </w:rPr>
              <w:t>. Nr.: 40103770356,</w:t>
            </w:r>
          </w:p>
          <w:p w:rsidR="00B7251B" w:rsidRDefault="002B5E57">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Kalnciema iela 10, Rīga, LV - 1048,</w:t>
            </w:r>
          </w:p>
          <w:p w:rsidR="00B7251B" w:rsidRDefault="002B5E57">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Konta Nr.: LV52RIKO0002930168476</w:t>
            </w:r>
          </w:p>
          <w:p w:rsidR="00B7251B" w:rsidRDefault="002B5E57">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Banka: AS </w:t>
            </w:r>
            <w:proofErr w:type="spellStart"/>
            <w:r>
              <w:rPr>
                <w:rFonts w:ascii="Times New Roman" w:eastAsia="Times New Roman" w:hAnsi="Times New Roman" w:cs="Times New Roman"/>
                <w:color w:val="00000A"/>
                <w:sz w:val="24"/>
                <w:szCs w:val="24"/>
              </w:rPr>
              <w:t>Luminor</w:t>
            </w:r>
            <w:proofErr w:type="spellEnd"/>
            <w:r>
              <w:rPr>
                <w:rFonts w:ascii="Times New Roman" w:eastAsia="Times New Roman" w:hAnsi="Times New Roman" w:cs="Times New Roman"/>
                <w:color w:val="00000A"/>
                <w:sz w:val="24"/>
                <w:szCs w:val="24"/>
              </w:rPr>
              <w:t xml:space="preserve"> </w:t>
            </w:r>
            <w:proofErr w:type="spellStart"/>
            <w:r>
              <w:rPr>
                <w:rFonts w:ascii="Times New Roman" w:eastAsia="Times New Roman" w:hAnsi="Times New Roman" w:cs="Times New Roman"/>
                <w:color w:val="00000A"/>
                <w:sz w:val="24"/>
                <w:szCs w:val="24"/>
              </w:rPr>
              <w:t>Bank</w:t>
            </w:r>
            <w:proofErr w:type="spellEnd"/>
          </w:p>
          <w:p w:rsidR="00B7251B" w:rsidRDefault="002B5E57">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color w:val="00000A"/>
                <w:sz w:val="24"/>
                <w:szCs w:val="24"/>
              </w:rPr>
              <w:t>Kods: RIKOLV2X</w:t>
            </w:r>
          </w:p>
          <w:p w:rsidR="00B7251B" w:rsidRDefault="00B7251B">
            <w:pPr>
              <w:tabs>
                <w:tab w:val="left" w:pos="2160"/>
              </w:tabs>
              <w:spacing w:after="0" w:line="240" w:lineRule="auto"/>
              <w:ind w:right="-1"/>
              <w:jc w:val="both"/>
              <w:rPr>
                <w:rFonts w:ascii="Times New Roman" w:eastAsia="Times New Roman" w:hAnsi="Times New Roman" w:cs="Times New Roman"/>
                <w:bCs/>
                <w:sz w:val="24"/>
                <w:szCs w:val="24"/>
              </w:rPr>
            </w:pPr>
          </w:p>
          <w:p w:rsidR="00B7251B" w:rsidRDefault="00B7251B">
            <w:pPr>
              <w:tabs>
                <w:tab w:val="left" w:pos="2160"/>
              </w:tabs>
              <w:spacing w:after="0" w:line="240" w:lineRule="auto"/>
              <w:ind w:right="-1"/>
              <w:jc w:val="both"/>
              <w:rPr>
                <w:rFonts w:ascii="Times New Roman" w:eastAsia="Times New Roman" w:hAnsi="Times New Roman" w:cs="Times New Roman"/>
                <w:bCs/>
                <w:sz w:val="24"/>
                <w:szCs w:val="24"/>
              </w:rPr>
            </w:pPr>
          </w:p>
          <w:p w:rsidR="00B7251B" w:rsidRDefault="00B7251B">
            <w:pPr>
              <w:tabs>
                <w:tab w:val="left" w:pos="2160"/>
              </w:tabs>
              <w:spacing w:after="0" w:line="240" w:lineRule="auto"/>
              <w:ind w:right="-1"/>
              <w:jc w:val="both"/>
              <w:rPr>
                <w:rFonts w:ascii="Times New Roman" w:eastAsia="Times New Roman" w:hAnsi="Times New Roman" w:cs="Times New Roman"/>
                <w:bCs/>
                <w:sz w:val="24"/>
                <w:szCs w:val="24"/>
              </w:rPr>
            </w:pPr>
          </w:p>
          <w:p w:rsidR="00B7251B" w:rsidRDefault="002B5E57">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B7251B" w:rsidRDefault="002B5E57">
            <w:pPr>
              <w:tabs>
                <w:tab w:val="left" w:pos="2160"/>
              </w:tabs>
              <w:spacing w:after="0" w:line="240" w:lineRule="auto"/>
              <w:ind w:right="-1"/>
              <w:jc w:val="both"/>
            </w:pPr>
            <w:r>
              <w:rPr>
                <w:rFonts w:ascii="Times New Roman" w:eastAsia="Times New Roman" w:hAnsi="Times New Roman" w:cs="Times New Roman"/>
                <w:bCs/>
                <w:sz w:val="24"/>
                <w:szCs w:val="24"/>
              </w:rPr>
              <w:t>Anrijs Grosbergs</w:t>
            </w:r>
          </w:p>
        </w:tc>
      </w:tr>
    </w:tbl>
    <w:p w:rsidR="00B7251B" w:rsidRDefault="00B7251B"/>
    <w:p w:rsidR="00B7251B" w:rsidRDefault="00B7251B"/>
    <w:p w:rsidR="00B7251B" w:rsidRDefault="00B7251B"/>
    <w:p w:rsidR="00B7251B" w:rsidRDefault="00B7251B"/>
    <w:p w:rsidR="00B7251B" w:rsidRDefault="00B7251B"/>
    <w:p w:rsidR="00B7251B" w:rsidRDefault="00B7251B"/>
    <w:p w:rsidR="00B7251B" w:rsidRDefault="00B7251B"/>
    <w:p w:rsidR="00B7251B" w:rsidRDefault="00B7251B">
      <w:bookmarkStart w:id="0" w:name="_GoBack"/>
      <w:bookmarkEnd w:id="0"/>
    </w:p>
    <w:sectPr w:rsidR="00B7251B">
      <w:footerReference w:type="default" r:id="rId10"/>
      <w:pgSz w:w="11906" w:h="16838"/>
      <w:pgMar w:top="1440" w:right="1800" w:bottom="1440" w:left="1800" w:header="0" w:footer="708"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866" w:rsidRDefault="002B5E57">
      <w:pPr>
        <w:spacing w:after="0" w:line="240" w:lineRule="auto"/>
      </w:pPr>
      <w:r>
        <w:separator/>
      </w:r>
    </w:p>
  </w:endnote>
  <w:endnote w:type="continuationSeparator" w:id="0">
    <w:p w:rsidR="00D81866" w:rsidRDefault="002B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ans">
    <w:altName w:val="Arial"/>
    <w:charset w:val="BA"/>
    <w:family w:val="swiss"/>
    <w:pitch w:val="variable"/>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590743"/>
      <w:docPartObj>
        <w:docPartGallery w:val="Page Numbers (Bottom of Page)"/>
        <w:docPartUnique/>
      </w:docPartObj>
    </w:sdtPr>
    <w:sdtEndPr/>
    <w:sdtContent>
      <w:p w:rsidR="00B7251B" w:rsidRDefault="002B5E57">
        <w:pPr>
          <w:pStyle w:val="Footer"/>
          <w:jc w:val="center"/>
        </w:pPr>
        <w:r>
          <w:fldChar w:fldCharType="begin"/>
        </w:r>
        <w:r>
          <w:instrText>PAGE</w:instrText>
        </w:r>
        <w:r>
          <w:fldChar w:fldCharType="separate"/>
        </w:r>
        <w:r>
          <w:t>0</w:t>
        </w:r>
        <w:r>
          <w:fldChar w:fldCharType="end"/>
        </w:r>
      </w:p>
    </w:sdtContent>
  </w:sdt>
  <w:p w:rsidR="00B7251B" w:rsidRDefault="00B72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866" w:rsidRDefault="002B5E57">
      <w:pPr>
        <w:spacing w:after="0" w:line="240" w:lineRule="auto"/>
      </w:pPr>
      <w:r>
        <w:separator/>
      </w:r>
    </w:p>
  </w:footnote>
  <w:footnote w:type="continuationSeparator" w:id="0">
    <w:p w:rsidR="00D81866" w:rsidRDefault="002B5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F56DB"/>
    <w:multiLevelType w:val="multilevel"/>
    <w:tmpl w:val="C5AAAA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46D4A23"/>
    <w:multiLevelType w:val="multilevel"/>
    <w:tmpl w:val="E3561B3E"/>
    <w:lvl w:ilvl="0">
      <w:start w:val="1"/>
      <w:numFmt w:val="decimal"/>
      <w:lvlText w:val="%1."/>
      <w:lvlJc w:val="left"/>
      <w:pPr>
        <w:ind w:left="720" w:hanging="360"/>
      </w:pPr>
    </w:lvl>
    <w:lvl w:ilvl="1">
      <w:start w:val="1"/>
      <w:numFmt w:val="decimal"/>
      <w:lvlText w:val="%1.%2."/>
      <w:lvlJc w:val="left"/>
      <w:pPr>
        <w:ind w:left="562" w:hanging="420"/>
      </w:pPr>
      <w:rPr>
        <w:rFonts w:ascii="Times New Roman" w:hAnsi="Times New Roman"/>
        <w:i w:val="0"/>
        <w:sz w:val="24"/>
      </w:r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52276318"/>
    <w:multiLevelType w:val="multilevel"/>
    <w:tmpl w:val="A994302E"/>
    <w:lvl w:ilvl="0">
      <w:start w:val="4"/>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 w15:restartNumberingAfterBreak="0">
    <w:nsid w:val="62727EFB"/>
    <w:multiLevelType w:val="multilevel"/>
    <w:tmpl w:val="9220728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1B"/>
    <w:rsid w:val="002B5E57"/>
    <w:rsid w:val="004D0A1D"/>
    <w:rsid w:val="00657ADE"/>
    <w:rsid w:val="009E6677"/>
    <w:rsid w:val="00B7251B"/>
    <w:rsid w:val="00D81866"/>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17B44-AB99-48EA-BF47-78ECDF7B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B3097"/>
  </w:style>
  <w:style w:type="character" w:customStyle="1" w:styleId="FooterChar">
    <w:name w:val="Footer Char"/>
    <w:basedOn w:val="DefaultParagraphFont"/>
    <w:link w:val="Footer"/>
    <w:uiPriority w:val="99"/>
    <w:qFormat/>
    <w:rsid w:val="006B3097"/>
  </w:style>
  <w:style w:type="character" w:customStyle="1" w:styleId="ListLabel1">
    <w:name w:val="ListLabel 1"/>
    <w:qFormat/>
    <w:rPr>
      <w:rFonts w:ascii="Times New Roman" w:hAnsi="Times New Roman"/>
      <w:i w:val="0"/>
      <w:sz w:val="24"/>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Header">
    <w:name w:val="header"/>
    <w:basedOn w:val="Normal"/>
    <w:link w:val="HeaderChar"/>
    <w:uiPriority w:val="99"/>
    <w:unhideWhenUsed/>
    <w:rsid w:val="006B3097"/>
    <w:pPr>
      <w:tabs>
        <w:tab w:val="center" w:pos="4153"/>
        <w:tab w:val="right" w:pos="8306"/>
      </w:tabs>
      <w:spacing w:after="0" w:line="240" w:lineRule="auto"/>
    </w:pPr>
  </w:style>
  <w:style w:type="paragraph" w:styleId="Footer">
    <w:name w:val="footer"/>
    <w:basedOn w:val="Normal"/>
    <w:link w:val="FooterChar"/>
    <w:uiPriority w:val="99"/>
    <w:unhideWhenUsed/>
    <w:rsid w:val="006B3097"/>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arlis.bet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g@entro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9069</Words>
  <Characters>5170</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dc:description/>
  <cp:lastModifiedBy>Lāsma Vītoliņa</cp:lastModifiedBy>
  <cp:revision>5</cp:revision>
  <dcterms:created xsi:type="dcterms:W3CDTF">2018-03-26T09:33:00Z</dcterms:created>
  <dcterms:modified xsi:type="dcterms:W3CDTF">2018-04-05T06:14:00Z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