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A07DA8">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A07DA8">
              <w:rPr>
                <w:lang w:eastAsia="lv-LV"/>
              </w:rPr>
              <w:t>2018.gada 17.septembrī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082F22">
        <w:rPr>
          <w:rFonts w:eastAsia="Calibri"/>
        </w:rPr>
        <w:t>kuru saskaņā ar statūtiem un 29.08.2018. valdes lēmumu Nr.81 (protokols Nr.30 p.1) “Par pilnvarojuma (</w:t>
      </w:r>
      <w:proofErr w:type="spellStart"/>
      <w:r w:rsidR="00082F22">
        <w:rPr>
          <w:rFonts w:eastAsia="Calibri"/>
        </w:rPr>
        <w:t>paraksttiesību</w:t>
      </w:r>
      <w:proofErr w:type="spellEnd"/>
      <w:r w:rsidR="00082F22">
        <w:rPr>
          <w:rFonts w:eastAsia="Calibri"/>
        </w:rPr>
        <w:t xml:space="preserve">) piešķiršanu” pārstāv valdes locekļi </w:t>
      </w:r>
      <w:r w:rsidR="00082F22">
        <w:rPr>
          <w:rFonts w:eastAsia="Calibri"/>
          <w:bCs/>
        </w:rPr>
        <w:t>Ilze Kreicberga</w:t>
      </w:r>
      <w:r w:rsidR="00082F22">
        <w:rPr>
          <w:rFonts w:eastAsia="Calibri"/>
        </w:rPr>
        <w:t xml:space="preserve">, Elita Buša un Jānis Komisars </w:t>
      </w:r>
      <w:r w:rsidR="005656C4" w:rsidRPr="00082F22">
        <w:rPr>
          <w:rFonts w:eastAsia="Calibri"/>
          <w:szCs w:val="22"/>
        </w:rPr>
        <w:t>(turpmāk – Pasūtītājs), no vienas puses, un</w:t>
      </w:r>
      <w:r w:rsidR="005656C4" w:rsidRPr="005656C4">
        <w:rPr>
          <w:rFonts w:eastAsia="Calibri"/>
          <w:szCs w:val="22"/>
        </w:rPr>
        <w:t xml:space="preserve"> </w:t>
      </w:r>
    </w:p>
    <w:p w:rsidR="003C5286" w:rsidRPr="000A0FB6" w:rsidRDefault="00035409" w:rsidP="006A5C78">
      <w:pPr>
        <w:ind w:right="-766"/>
      </w:pPr>
      <w:r w:rsidRPr="00035409">
        <w:rPr>
          <w:b/>
        </w:rPr>
        <w:t>SIA “</w:t>
      </w:r>
      <w:proofErr w:type="spellStart"/>
      <w:r w:rsidRPr="00035409">
        <w:rPr>
          <w:b/>
        </w:rPr>
        <w:t>Pean</w:t>
      </w:r>
      <w:proofErr w:type="spellEnd"/>
      <w:r w:rsidRPr="00035409">
        <w:rPr>
          <w:b/>
        </w:rPr>
        <w:t>”,</w:t>
      </w:r>
      <w:r w:rsidRPr="00035409">
        <w:t xml:space="preserve"> reģistrācijas Nr. 40103042784</w:t>
      </w:r>
      <w:r w:rsidR="00A4223E">
        <w:t xml:space="preserve">, </w:t>
      </w:r>
      <w:r w:rsidR="002B2E7E" w:rsidRPr="00167615">
        <w:t xml:space="preserve">tās </w:t>
      </w:r>
      <w:r w:rsidR="002B2E7E">
        <w:t xml:space="preserve">pilnvarotās personas valdes locekles Jūlijas </w:t>
      </w:r>
      <w:proofErr w:type="spellStart"/>
      <w:r w:rsidR="002B2E7E">
        <w:t>Zareckas</w:t>
      </w:r>
      <w:proofErr w:type="spellEnd"/>
      <w:r w:rsidR="002B2E7E">
        <w:t xml:space="preserve"> </w:t>
      </w:r>
      <w:r w:rsidR="002B2E7E" w:rsidRPr="00167615">
        <w:t>personā, kura</w:t>
      </w:r>
      <w:r w:rsidR="002B2E7E">
        <w:t>/š</w:t>
      </w:r>
      <w:r w:rsidR="002B2E7E" w:rsidRPr="00167615">
        <w:t xml:space="preserve"> rīkojas uz pilnvaras</w:t>
      </w:r>
      <w:r w:rsidR="002B2E7E">
        <w:t xml:space="preserve"> pamata </w:t>
      </w:r>
      <w:r w:rsidR="00A4223E">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lang w:eastAsia="lv-LV"/>
        </w:rPr>
        <w:lastRenderedPageBreak/>
        <w:t>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lastRenderedPageBreak/>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lastRenderedPageBreak/>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7F174A">
        <w:t>atavota latviešu valodā, uz 21 (divdesmit vienas) lapas</w:t>
      </w:r>
      <w:r>
        <w:t>,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035409" w:rsidRDefault="00035409" w:rsidP="006D6558">
                  <w:pPr>
                    <w:spacing w:line="254" w:lineRule="auto"/>
                    <w:ind w:right="-1050"/>
                  </w:pPr>
                  <w:r>
                    <w:rPr>
                      <w:b/>
                    </w:rPr>
                    <w:t>SIA “Pean”</w:t>
                  </w:r>
                </w:p>
                <w:p w:rsidR="00474149" w:rsidRDefault="00EC32A2" w:rsidP="006D6558">
                  <w:pPr>
                    <w:spacing w:line="254" w:lineRule="auto"/>
                    <w:ind w:right="-1050"/>
                  </w:pPr>
                  <w:r>
                    <w:t>40103295181</w:t>
                  </w:r>
                </w:p>
                <w:p w:rsidR="007F174A" w:rsidRPr="006D6558" w:rsidRDefault="007F174A" w:rsidP="007F174A">
                  <w:pPr>
                    <w:tabs>
                      <w:tab w:val="left" w:pos="4395"/>
                    </w:tabs>
                    <w:ind w:right="-1049"/>
                    <w:jc w:val="left"/>
                    <w:rPr>
                      <w:iCs/>
                    </w:rPr>
                  </w:pPr>
                  <w:r>
                    <w:rPr>
                      <w:iCs/>
                    </w:rPr>
                    <w:t>Bauskas iela 16c, Rīga, LV-1004</w:t>
                  </w:r>
                </w:p>
                <w:p w:rsidR="007F174A" w:rsidRPr="007F174A" w:rsidRDefault="007F174A" w:rsidP="007F174A">
                  <w:pPr>
                    <w:tabs>
                      <w:tab w:val="left" w:pos="4395"/>
                    </w:tabs>
                    <w:ind w:right="-1049"/>
                    <w:jc w:val="left"/>
                  </w:pPr>
                  <w:r w:rsidRPr="007F174A">
                    <w:rPr>
                      <w:iCs/>
                    </w:rPr>
                    <w:t xml:space="preserve">Banka: </w:t>
                  </w:r>
                  <w:r w:rsidR="00A07DA8">
                    <w:rPr>
                      <w:iCs/>
                    </w:rPr>
                    <w:t>____________</w:t>
                  </w:r>
                </w:p>
                <w:p w:rsidR="007F174A" w:rsidRPr="007F174A" w:rsidRDefault="007F174A" w:rsidP="007F174A">
                  <w:pPr>
                    <w:tabs>
                      <w:tab w:val="left" w:pos="4395"/>
                    </w:tabs>
                    <w:ind w:right="-1049"/>
                    <w:jc w:val="left"/>
                  </w:pPr>
                  <w:r w:rsidRPr="007F174A">
                    <w:t xml:space="preserve">Bankas kods: </w:t>
                  </w:r>
                  <w:r w:rsidR="00A07DA8">
                    <w:t>___________</w:t>
                  </w:r>
                </w:p>
                <w:p w:rsidR="007F174A" w:rsidRPr="007F174A" w:rsidRDefault="007F174A" w:rsidP="007F174A">
                  <w:pPr>
                    <w:tabs>
                      <w:tab w:val="left" w:pos="4395"/>
                    </w:tabs>
                    <w:ind w:right="-1049"/>
                    <w:jc w:val="left"/>
                  </w:pPr>
                  <w:r w:rsidRPr="007F174A">
                    <w:t>Konta Nr.</w:t>
                  </w:r>
                  <w:r w:rsidR="00A07DA8">
                    <w:t>:______________</w:t>
                  </w:r>
                  <w:r w:rsidRPr="007F174A">
                    <w:t xml:space="preserve"> </w:t>
                  </w:r>
                </w:p>
                <w:p w:rsidR="007F174A" w:rsidRPr="007F174A" w:rsidRDefault="007F174A" w:rsidP="007F174A">
                  <w:pPr>
                    <w:tabs>
                      <w:tab w:val="left" w:pos="4395"/>
                    </w:tabs>
                    <w:ind w:right="-1049"/>
                    <w:jc w:val="left"/>
                  </w:pPr>
                </w:p>
                <w:p w:rsidR="007F174A" w:rsidRPr="007F174A" w:rsidRDefault="007F174A" w:rsidP="007F174A">
                  <w:pPr>
                    <w:tabs>
                      <w:tab w:val="left" w:pos="4395"/>
                    </w:tabs>
                    <w:ind w:right="-1049"/>
                    <w:jc w:val="left"/>
                  </w:pPr>
                </w:p>
                <w:p w:rsidR="007F174A" w:rsidRPr="007F174A" w:rsidRDefault="007F174A" w:rsidP="007F174A">
                  <w:pPr>
                    <w:tabs>
                      <w:tab w:val="left" w:pos="4395"/>
                    </w:tabs>
                    <w:ind w:right="-1049"/>
                    <w:jc w:val="left"/>
                  </w:pPr>
                </w:p>
                <w:p w:rsidR="007F174A" w:rsidRPr="006D6558" w:rsidRDefault="007F174A" w:rsidP="007F174A">
                  <w:pPr>
                    <w:tabs>
                      <w:tab w:val="left" w:pos="4395"/>
                    </w:tabs>
                    <w:ind w:right="-1049"/>
                    <w:jc w:val="left"/>
                  </w:pPr>
                  <w:r w:rsidRPr="007F174A">
                    <w:t>_____________________________</w:t>
                  </w:r>
                </w:p>
                <w:p w:rsidR="006D6558" w:rsidRPr="006D6558" w:rsidRDefault="007F174A" w:rsidP="007F174A">
                  <w:pPr>
                    <w:tabs>
                      <w:tab w:val="left" w:pos="4395"/>
                    </w:tabs>
                    <w:ind w:right="-1049"/>
                    <w:jc w:val="left"/>
                  </w:pPr>
                  <w:r>
                    <w:t xml:space="preserve">Valdes locekle </w:t>
                  </w:r>
                  <w:proofErr w:type="spellStart"/>
                  <w:r>
                    <w:t>J.Zarecka</w:t>
                  </w:r>
                  <w:proofErr w:type="spellEnd"/>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A07DA8" w:rsidP="004C660A">
      <w:pPr>
        <w:ind w:left="720" w:right="49"/>
        <w:jc w:val="right"/>
        <w:rPr>
          <w:rFonts w:eastAsia="Calibri"/>
          <w:bCs/>
          <w:sz w:val="20"/>
          <w:szCs w:val="20"/>
        </w:rPr>
      </w:pPr>
      <w:r>
        <w:rPr>
          <w:rFonts w:eastAsia="Calibri"/>
          <w:bCs/>
          <w:sz w:val="20"/>
          <w:szCs w:val="20"/>
        </w:rPr>
        <w:t>Vienošanās Nr. SKUS 446/18-VV</w:t>
      </w:r>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bookmarkStart w:id="1" w:name="_GoBack"/>
      <w:bookmarkEnd w:id="1"/>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A07DA8">
          <w:rPr>
            <w:noProof/>
          </w:rPr>
          <w:t>5</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35409"/>
    <w:rsid w:val="00063C2E"/>
    <w:rsid w:val="00082F22"/>
    <w:rsid w:val="000A0FB6"/>
    <w:rsid w:val="000D7DDA"/>
    <w:rsid w:val="000E01CC"/>
    <w:rsid w:val="000E5FE6"/>
    <w:rsid w:val="00105D0B"/>
    <w:rsid w:val="00156CDE"/>
    <w:rsid w:val="00200FE5"/>
    <w:rsid w:val="00221A6D"/>
    <w:rsid w:val="00243B0D"/>
    <w:rsid w:val="00263E86"/>
    <w:rsid w:val="00271EBA"/>
    <w:rsid w:val="002B2E7E"/>
    <w:rsid w:val="002D69B3"/>
    <w:rsid w:val="002E2777"/>
    <w:rsid w:val="002F048E"/>
    <w:rsid w:val="0038608F"/>
    <w:rsid w:val="003B18C1"/>
    <w:rsid w:val="003C5286"/>
    <w:rsid w:val="00431536"/>
    <w:rsid w:val="00474149"/>
    <w:rsid w:val="004C660A"/>
    <w:rsid w:val="004F54E0"/>
    <w:rsid w:val="005656C4"/>
    <w:rsid w:val="00577776"/>
    <w:rsid w:val="005E3A49"/>
    <w:rsid w:val="005E62B6"/>
    <w:rsid w:val="00641C71"/>
    <w:rsid w:val="006A5C78"/>
    <w:rsid w:val="006D6558"/>
    <w:rsid w:val="00752394"/>
    <w:rsid w:val="00775B5A"/>
    <w:rsid w:val="00775CA5"/>
    <w:rsid w:val="007D66BA"/>
    <w:rsid w:val="007F174A"/>
    <w:rsid w:val="00840B57"/>
    <w:rsid w:val="00944C26"/>
    <w:rsid w:val="009D2C3B"/>
    <w:rsid w:val="00A07DA8"/>
    <w:rsid w:val="00A10333"/>
    <w:rsid w:val="00A24F01"/>
    <w:rsid w:val="00A4223E"/>
    <w:rsid w:val="00A50725"/>
    <w:rsid w:val="00B53ECF"/>
    <w:rsid w:val="00B72B9E"/>
    <w:rsid w:val="00BA57AC"/>
    <w:rsid w:val="00BA6A0B"/>
    <w:rsid w:val="00C72455"/>
    <w:rsid w:val="00D346DE"/>
    <w:rsid w:val="00D40CE1"/>
    <w:rsid w:val="00DA27F3"/>
    <w:rsid w:val="00E661B5"/>
    <w:rsid w:val="00EC32A2"/>
    <w:rsid w:val="00F178C3"/>
    <w:rsid w:val="00F50A8E"/>
    <w:rsid w:val="00F55B6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7682</Words>
  <Characters>4380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2018-09-12T06:06:00Z</dcterms:created>
  <dcterms:modified xsi:type="dcterms:W3CDTF">2018-09-28T10:30:00Z</dcterms:modified>
</cp:coreProperties>
</file>