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6B7BE6">
        <w:rPr>
          <w:rFonts w:ascii="Times New Roman" w:eastAsia="Times New Roman" w:hAnsi="Times New Roman"/>
          <w:sz w:val="24"/>
          <w:szCs w:val="24"/>
        </w:rPr>
        <w:t xml:space="preserve">. </w:t>
      </w:r>
      <w:r w:rsidR="006B7BE6" w:rsidRPr="006B7BE6">
        <w:rPr>
          <w:rFonts w:ascii="Times New Roman" w:eastAsia="Times New Roman" w:hAnsi="Times New Roman"/>
          <w:b/>
          <w:sz w:val="24"/>
          <w:szCs w:val="24"/>
        </w:rPr>
        <w:t>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6B7BE6">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1F4E88" w:rsidRDefault="001F4E88" w:rsidP="001F4E88">
      <w:pPr>
        <w:spacing w:after="0" w:line="240" w:lineRule="auto"/>
        <w:ind w:right="-766"/>
        <w:jc w:val="both"/>
        <w:rPr>
          <w:rFonts w:ascii="Times New Roman" w:eastAsia="Times New Roman" w:hAnsi="Times New Roman"/>
          <w:sz w:val="24"/>
          <w:szCs w:val="24"/>
          <w:lang w:eastAsia="lv-LV"/>
        </w:rPr>
      </w:pPr>
      <w:r w:rsidRPr="001F4E88">
        <w:rPr>
          <w:rFonts w:ascii="Times New Roman" w:eastAsia="Times New Roman" w:hAnsi="Times New Roman"/>
          <w:b/>
          <w:sz w:val="24"/>
          <w:szCs w:val="24"/>
          <w:lang w:eastAsia="lv-LV"/>
        </w:rPr>
        <w:t>Johnson &amp; Johnson AB Latvijas filiāle</w:t>
      </w:r>
      <w:r w:rsidR="00200CFE">
        <w:rPr>
          <w:rFonts w:ascii="Times New Roman" w:eastAsia="Times New Roman" w:hAnsi="Times New Roman"/>
          <w:b/>
          <w:sz w:val="24"/>
          <w:szCs w:val="24"/>
          <w:lang w:eastAsia="lv-LV"/>
        </w:rPr>
        <w:t xml:space="preserve">, </w:t>
      </w:r>
      <w:r w:rsidR="00200CFE">
        <w:rPr>
          <w:rFonts w:ascii="Times New Roman" w:hAnsi="Times New Roman"/>
          <w:sz w:val="24"/>
          <w:szCs w:val="24"/>
        </w:rPr>
        <w:t>reģistrācijas Nr. 40003600116</w:t>
      </w:r>
      <w:r w:rsidRPr="001F4E88">
        <w:rPr>
          <w:rFonts w:ascii="Times New Roman" w:eastAsia="Times New Roman" w:hAnsi="Times New Roman"/>
          <w:sz w:val="24"/>
          <w:szCs w:val="24"/>
          <w:lang w:eastAsia="lv-LV"/>
        </w:rPr>
        <w:t xml:space="preserve">, tās pilnvarotās personas Ilzes </w:t>
      </w:r>
      <w:proofErr w:type="spellStart"/>
      <w:r w:rsidRPr="001F4E88">
        <w:rPr>
          <w:rFonts w:ascii="Times New Roman" w:eastAsia="Times New Roman" w:hAnsi="Times New Roman"/>
          <w:sz w:val="24"/>
          <w:szCs w:val="24"/>
          <w:lang w:eastAsia="lv-LV"/>
        </w:rPr>
        <w:t>Tokas</w:t>
      </w:r>
      <w:proofErr w:type="spellEnd"/>
      <w:r w:rsidRPr="001F4E88">
        <w:rPr>
          <w:rFonts w:ascii="Times New Roman" w:eastAsia="Times New Roman" w:hAnsi="Times New Roman"/>
          <w:sz w:val="24"/>
          <w:szCs w:val="24"/>
          <w:lang w:eastAsia="lv-LV"/>
        </w:rPr>
        <w:t xml:space="preserve"> personā, kura rīkojas uz pilnvaras</w:t>
      </w:r>
      <w:r>
        <w:rPr>
          <w:rFonts w:ascii="Times New Roman" w:eastAsia="Times New Roman" w:hAnsi="Times New Roman"/>
          <w:sz w:val="24"/>
          <w:szCs w:val="24"/>
          <w:lang w:eastAsia="lv-LV"/>
        </w:rPr>
        <w:t xml:space="preserve"> pamata (turpmāk – </w:t>
      </w:r>
      <w:r w:rsidRPr="002E20B8">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636A9E">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AA5524"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AA5524" w:rsidRDefault="00AA5524" w:rsidP="00AA5524">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AA5524">
        <w:rPr>
          <w:rFonts w:ascii="Times New Roman" w:eastAsia="Times New Roman" w:hAnsi="Times New Roman"/>
          <w:sz w:val="24"/>
          <w:szCs w:val="24"/>
        </w:rPr>
        <w:t>ums – piegādes līgums uz 13 (trīspadsmit</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AA5524" w:rsidRDefault="00AA5524" w:rsidP="00AA5524">
      <w:pPr>
        <w:spacing w:after="0" w:line="240" w:lineRule="auto"/>
        <w:jc w:val="center"/>
        <w:rPr>
          <w:rFonts w:ascii="Times New Roman" w:eastAsia="Times New Roman" w:hAnsi="Times New Roman"/>
          <w:b/>
          <w:sz w:val="24"/>
          <w:szCs w:val="24"/>
          <w:lang w:eastAsia="lv-LV"/>
        </w:rPr>
      </w:pP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Pr>
          <w:rFonts w:ascii="Times New Roman" w:eastAsia="Times New Roman" w:hAnsi="Times New Roman"/>
          <w:b/>
          <w:bCs/>
          <w:sz w:val="24"/>
          <w:szCs w:val="24"/>
          <w:lang w:val="en-US"/>
        </w:rPr>
        <w:t>Pasūtītājs</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Piegādātājs</w:t>
      </w:r>
      <w:proofErr w:type="spellEnd"/>
      <w:r>
        <w:rPr>
          <w:rFonts w:ascii="Times New Roman" w:eastAsia="Times New Roman" w:hAnsi="Times New Roman"/>
          <w:b/>
          <w:bCs/>
          <w:sz w:val="24"/>
          <w:szCs w:val="24"/>
          <w:lang w:val="en-US"/>
        </w:rPr>
        <w:t xml:space="preserve">: </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 xml:space="preserve">      Johnson &amp;Johnson AB </w:t>
      </w:r>
      <w:proofErr w:type="spellStart"/>
      <w:r>
        <w:rPr>
          <w:rFonts w:ascii="Times New Roman" w:eastAsia="Times New Roman" w:hAnsi="Times New Roman"/>
          <w:b/>
          <w:bCs/>
          <w:sz w:val="24"/>
          <w:szCs w:val="24"/>
          <w:lang w:val="en-US"/>
        </w:rPr>
        <w:t>Latvijas</w:t>
      </w:r>
      <w:proofErr w:type="spellEnd"/>
      <w:r>
        <w:rPr>
          <w:rFonts w:ascii="Times New Roman" w:eastAsia="Times New Roman" w:hAnsi="Times New Roman"/>
          <w:b/>
          <w:bCs/>
          <w:sz w:val="24"/>
          <w:szCs w:val="24"/>
          <w:lang w:val="en-US"/>
        </w:rPr>
        <w:t xml:space="preserve"> fil.</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t xml:space="preserve">       </w:t>
      </w:r>
      <w:proofErr w:type="spellStart"/>
      <w:r>
        <w:rPr>
          <w:rFonts w:ascii="Times New Roman" w:eastAsia="Times New Roman" w:hAnsi="Times New Roman"/>
          <w:sz w:val="24"/>
          <w:szCs w:val="24"/>
          <w:lang w:val="en-GB"/>
        </w:rPr>
        <w:t>Reģ.Nr</w:t>
      </w:r>
      <w:proofErr w:type="spellEnd"/>
      <w:r>
        <w:rPr>
          <w:rFonts w:ascii="Times New Roman" w:eastAsia="Times New Roman" w:hAnsi="Times New Roman"/>
          <w:sz w:val="24"/>
          <w:szCs w:val="24"/>
          <w:lang w:val="en-GB"/>
        </w:rPr>
        <w:t>. 40003600116</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Pilsoņu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 –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proofErr w:type="spellStart"/>
      <w:r>
        <w:rPr>
          <w:rFonts w:ascii="Times New Roman" w:eastAsia="Times New Roman" w:hAnsi="Times New Roman"/>
          <w:sz w:val="24"/>
          <w:szCs w:val="24"/>
          <w:lang w:val="en-US"/>
        </w:rPr>
        <w:t>Mūkusalas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101,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LV-1004</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LV61HABA0551003244927</w:t>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AA5524" w:rsidRDefault="00AA5524" w:rsidP="00AA5524">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AA5524" w:rsidRDefault="00AA5524" w:rsidP="00AA5524">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AA5524" w:rsidTr="00AA5524">
        <w:trPr>
          <w:trHeight w:val="881"/>
        </w:trPr>
        <w:tc>
          <w:tcPr>
            <w:tcW w:w="9598" w:type="dxa"/>
          </w:tcPr>
          <w:p w:rsidR="00AA5524" w:rsidRDefault="00AA5524">
            <w:pPr>
              <w:widowControl w:val="0"/>
              <w:suppressAutoHyphens/>
              <w:autoSpaceDE w:val="0"/>
              <w:autoSpaceDN w:val="0"/>
              <w:spacing w:after="0"/>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                                      ______________________________</w:t>
            </w:r>
          </w:p>
          <w:p w:rsidR="00AA5524" w:rsidRDefault="00AA5524">
            <w:pPr>
              <w:tabs>
                <w:tab w:val="left" w:pos="6585"/>
              </w:tabs>
              <w:suppressAutoHyphens/>
              <w:autoSpaceDN w:val="0"/>
              <w:ind w:left="-1112" w:right="-1050" w:firstLine="1135"/>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Pilnvarotā</w:t>
            </w:r>
            <w:proofErr w:type="spellEnd"/>
            <w:r>
              <w:rPr>
                <w:rFonts w:ascii="Times New Roman" w:eastAsia="Times New Roman" w:hAnsi="Times New Roman"/>
                <w:bCs/>
                <w:sz w:val="24"/>
                <w:szCs w:val="24"/>
                <w:lang w:val="en-US"/>
              </w:rPr>
              <w:t xml:space="preserve"> persona </w:t>
            </w:r>
            <w:proofErr w:type="spellStart"/>
            <w:r>
              <w:rPr>
                <w:rFonts w:ascii="Times New Roman" w:eastAsia="Times New Roman" w:hAnsi="Times New Roman"/>
                <w:bCs/>
                <w:sz w:val="24"/>
                <w:szCs w:val="24"/>
                <w:lang w:val="en-US"/>
              </w:rPr>
              <w:t>I.Toka</w:t>
            </w:r>
            <w:proofErr w:type="spellEnd"/>
          </w:p>
          <w:p w:rsidR="00AA5524" w:rsidRDefault="00AA5524">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AA5524" w:rsidRDefault="00AA5524">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AA5524" w:rsidRDefault="00AA5524">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AA5524" w:rsidRDefault="00AA5524">
            <w:pPr>
              <w:suppressAutoHyphens/>
              <w:autoSpaceDN w:val="0"/>
              <w:ind w:left="-1112" w:right="-1050" w:firstLine="1135"/>
              <w:jc w:val="both"/>
              <w:rPr>
                <w:rFonts w:ascii="Times New Roman" w:eastAsia="Times New Roman" w:hAnsi="Times New Roman"/>
                <w:bCs/>
                <w:sz w:val="24"/>
                <w:szCs w:val="24"/>
                <w:lang w:val="en-US"/>
              </w:rPr>
            </w:pPr>
          </w:p>
          <w:p w:rsidR="00AA5524" w:rsidRDefault="00AA5524">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AA5524" w:rsidRDefault="00AA5524">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AA5524" w:rsidRDefault="00AA5524" w:rsidP="00AA5524">
      <w:pPr>
        <w:spacing w:after="0" w:line="240" w:lineRule="auto"/>
        <w:rPr>
          <w:rFonts w:ascii="Times New Roman" w:eastAsia="Times New Roman" w:hAnsi="Times New Roman"/>
          <w:bCs/>
          <w:i/>
          <w:sz w:val="24"/>
          <w:szCs w:val="24"/>
          <w:lang w:eastAsia="lv-LV"/>
        </w:rPr>
      </w:pPr>
    </w:p>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636A9E">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1F4E88"/>
    <w:rsid w:val="00200CFE"/>
    <w:rsid w:val="002E20B8"/>
    <w:rsid w:val="003B4FF7"/>
    <w:rsid w:val="005E62B6"/>
    <w:rsid w:val="00636A9E"/>
    <w:rsid w:val="006A3EFF"/>
    <w:rsid w:val="006B7BE6"/>
    <w:rsid w:val="0072319A"/>
    <w:rsid w:val="00775CA5"/>
    <w:rsid w:val="00827918"/>
    <w:rsid w:val="00843D98"/>
    <w:rsid w:val="00846BF3"/>
    <w:rsid w:val="008D0D29"/>
    <w:rsid w:val="008D46F5"/>
    <w:rsid w:val="008E5719"/>
    <w:rsid w:val="009316FE"/>
    <w:rsid w:val="00A76647"/>
    <w:rsid w:val="00AA5524"/>
    <w:rsid w:val="00BD07BA"/>
    <w:rsid w:val="00C44DCC"/>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77157">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8341</Words>
  <Characters>4755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2018-04-13T10:31:00Z</dcterms:created>
  <dcterms:modified xsi:type="dcterms:W3CDTF">2018-04-27T11:00:00Z</dcterms:modified>
</cp:coreProperties>
</file>