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3C" w:rsidRPr="001B0B38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Vienošanās Nr.1</w:t>
      </w:r>
    </w:p>
    <w:p w:rsidR="003B143C" w:rsidRPr="001B0B38" w:rsidRDefault="001442F1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26.02.2019. līguma Nr. SKUS 116/19</w:t>
      </w:r>
    </w:p>
    <w:p w:rsidR="003B143C" w:rsidRPr="001B0B38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FA2950" w:rsidRPr="00FA2950" w:rsidRDefault="00FA2950" w:rsidP="00FA2950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b/>
          <w:sz w:val="22"/>
          <w:szCs w:val="22"/>
        </w:rPr>
      </w:pPr>
      <w:r w:rsidRPr="00FA2950">
        <w:rPr>
          <w:rFonts w:eastAsia="Times New Roman"/>
          <w:b/>
          <w:bCs/>
          <w:sz w:val="24"/>
          <w:szCs w:val="24"/>
        </w:rPr>
        <w:t>VSIA „Paula Stradiņa klīniskā universitātes slimnīca”</w:t>
      </w:r>
      <w:r w:rsidRPr="00FA2950">
        <w:rPr>
          <w:rFonts w:eastAsia="Times New Roman"/>
          <w:bCs/>
          <w:sz w:val="24"/>
          <w:szCs w:val="24"/>
        </w:rPr>
        <w:t xml:space="preserve">, reģistrācijas Nr.40003457109, kuru saskaņā ar statūtiem un 29.08.2018. valdes lēmumu Nr.81 (protokols Nr.30 p.1) “Par pilnvarojuma (paraksttiesību) piešķiršanu” pārstāv valdes locekle </w:t>
      </w:r>
      <w:r w:rsidRPr="00FA2950">
        <w:rPr>
          <w:rFonts w:eastAsia="Times New Roman"/>
          <w:b/>
          <w:bCs/>
          <w:sz w:val="24"/>
          <w:szCs w:val="24"/>
        </w:rPr>
        <w:t>Ilze Kreicberga</w:t>
      </w:r>
      <w:r>
        <w:rPr>
          <w:rFonts w:eastAsia="Times New Roman"/>
          <w:bCs/>
          <w:sz w:val="24"/>
          <w:szCs w:val="24"/>
        </w:rPr>
        <w:t xml:space="preserve">, (turpmāk - </w:t>
      </w:r>
      <w:r w:rsidR="00A03E8E">
        <w:rPr>
          <w:rFonts w:eastAsia="Times New Roman"/>
          <w:bCs/>
          <w:sz w:val="24"/>
          <w:szCs w:val="24"/>
        </w:rPr>
        <w:t>Pasūtītājs</w:t>
      </w:r>
      <w:r w:rsidRPr="00FA2950">
        <w:rPr>
          <w:rFonts w:eastAsia="Times New Roman"/>
          <w:bCs/>
          <w:sz w:val="24"/>
          <w:szCs w:val="24"/>
        </w:rPr>
        <w:t>) no vienas puses</w:t>
      </w:r>
    </w:p>
    <w:p w:rsidR="003B143C" w:rsidRPr="001B0B38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/>
          <w:sz w:val="24"/>
          <w:szCs w:val="24"/>
        </w:rPr>
      </w:pPr>
      <w:r w:rsidRPr="001B0B38">
        <w:rPr>
          <w:rFonts w:eastAsia="Times New Roman"/>
          <w:sz w:val="24"/>
          <w:szCs w:val="24"/>
        </w:rPr>
        <w:t>un</w:t>
      </w:r>
    </w:p>
    <w:p w:rsidR="003B143C" w:rsidRPr="001B0B38" w:rsidRDefault="001442F1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sz w:val="24"/>
          <w:szCs w:val="24"/>
        </w:rPr>
      </w:pPr>
      <w:r w:rsidRPr="001442F1">
        <w:rPr>
          <w:rFonts w:eastAsia="Times New Roman"/>
          <w:b/>
          <w:bCs/>
          <w:sz w:val="24"/>
          <w:szCs w:val="24"/>
          <w:lang w:eastAsia="lv-LV"/>
        </w:rPr>
        <w:t xml:space="preserve">SIA “UMT”, </w:t>
      </w:r>
      <w:r w:rsidRPr="0095782A">
        <w:rPr>
          <w:rFonts w:eastAsia="Times New Roman"/>
          <w:bCs/>
          <w:sz w:val="24"/>
          <w:szCs w:val="24"/>
          <w:lang w:eastAsia="lv-LV"/>
        </w:rPr>
        <w:t>reģistrācijas Nr. 50103458511,</w:t>
      </w:r>
      <w:r w:rsidRPr="001442F1">
        <w:rPr>
          <w:rFonts w:eastAsia="Times New Roman"/>
          <w:b/>
          <w:bCs/>
          <w:sz w:val="24"/>
          <w:szCs w:val="24"/>
          <w:lang w:eastAsia="lv-LV"/>
        </w:rPr>
        <w:t xml:space="preserve"> </w:t>
      </w:r>
      <w:r w:rsidRPr="00857403">
        <w:rPr>
          <w:rFonts w:eastAsia="Times New Roman"/>
          <w:bCs/>
          <w:sz w:val="24"/>
          <w:szCs w:val="24"/>
          <w:lang w:eastAsia="lv-LV"/>
        </w:rPr>
        <w:t>tās valdes locekļa</w:t>
      </w:r>
      <w:r w:rsidRPr="001442F1">
        <w:rPr>
          <w:rFonts w:eastAsia="Times New Roman"/>
          <w:b/>
          <w:bCs/>
          <w:sz w:val="24"/>
          <w:szCs w:val="24"/>
          <w:lang w:eastAsia="lv-LV"/>
        </w:rPr>
        <w:t xml:space="preserve"> Ulda Ārgaļa </w:t>
      </w:r>
      <w:r w:rsidRPr="00857403">
        <w:rPr>
          <w:rFonts w:eastAsia="Times New Roman"/>
          <w:bCs/>
          <w:sz w:val="24"/>
          <w:szCs w:val="24"/>
          <w:lang w:eastAsia="lv-LV"/>
        </w:rPr>
        <w:t>personā, kurš rīkojas uz statūtu pamata</w:t>
      </w:r>
      <w:r w:rsidR="00FA2950" w:rsidRPr="00857403">
        <w:rPr>
          <w:rFonts w:eastAsia="Times New Roman"/>
          <w:sz w:val="24"/>
          <w:szCs w:val="24"/>
        </w:rPr>
        <w:t>,</w:t>
      </w:r>
      <w:r w:rsidR="00FA2950" w:rsidRPr="00FA2950">
        <w:rPr>
          <w:rFonts w:eastAsia="Times New Roman"/>
          <w:sz w:val="24"/>
          <w:szCs w:val="24"/>
        </w:rPr>
        <w:t xml:space="preserve">  (turpmāk – </w:t>
      </w:r>
      <w:r>
        <w:rPr>
          <w:rFonts w:eastAsia="Times New Roman"/>
          <w:sz w:val="24"/>
          <w:szCs w:val="24"/>
        </w:rPr>
        <w:t>Piegādātājs</w:t>
      </w:r>
      <w:r w:rsidR="00FA2950" w:rsidRPr="00FA2950">
        <w:rPr>
          <w:rFonts w:eastAsia="Times New Roman"/>
          <w:sz w:val="24"/>
          <w:szCs w:val="24"/>
        </w:rPr>
        <w:t>)</w:t>
      </w:r>
      <w:r w:rsidR="00FA2950">
        <w:rPr>
          <w:rFonts w:eastAsia="Times New Roman"/>
          <w:sz w:val="24"/>
          <w:szCs w:val="24"/>
        </w:rPr>
        <w:t xml:space="preserve"> </w:t>
      </w:r>
      <w:r w:rsidR="00FA2950" w:rsidRPr="00FA2950">
        <w:rPr>
          <w:rFonts w:eastAsia="Times New Roman"/>
          <w:sz w:val="24"/>
          <w:szCs w:val="24"/>
        </w:rPr>
        <w:t xml:space="preserve">no otras puses, </w:t>
      </w:r>
      <w:r w:rsidR="00FA2950" w:rsidRPr="00FA2950">
        <w:rPr>
          <w:sz w:val="24"/>
          <w:szCs w:val="22"/>
        </w:rPr>
        <w:t xml:space="preserve">turpmāk abi kopā saukti – </w:t>
      </w:r>
      <w:r w:rsidR="00FA2950">
        <w:rPr>
          <w:rFonts w:eastAsia="Times New Roman"/>
          <w:sz w:val="24"/>
          <w:szCs w:val="24"/>
        </w:rPr>
        <w:t>Puses</w:t>
      </w:r>
      <w:r>
        <w:rPr>
          <w:rFonts w:eastAsia="Times New Roman"/>
          <w:bCs/>
          <w:sz w:val="24"/>
          <w:szCs w:val="24"/>
        </w:rPr>
        <w:t>, ņemot vērā 04.07.2019. NMC vadītājas A.Kalējas un MSŽĶC vadītājas A.Ivanovas iesniegumu, saskaņā ar 2019.gada 02.februāra</w:t>
      </w:r>
      <w:r w:rsidR="00FA2950">
        <w:rPr>
          <w:rFonts w:eastAsia="Times New Roman"/>
          <w:bCs/>
          <w:sz w:val="24"/>
          <w:szCs w:val="24"/>
        </w:rPr>
        <w:t xml:space="preserve"> līguma Nr. </w:t>
      </w:r>
      <w:r w:rsidR="00F75D8E">
        <w:rPr>
          <w:rFonts w:eastAsia="Times New Roman"/>
          <w:bCs/>
          <w:sz w:val="24"/>
          <w:szCs w:val="24"/>
        </w:rPr>
        <w:t xml:space="preserve">SKUS </w:t>
      </w:r>
      <w:r>
        <w:rPr>
          <w:rFonts w:eastAsia="Times New Roman"/>
          <w:bCs/>
          <w:sz w:val="24"/>
          <w:szCs w:val="24"/>
        </w:rPr>
        <w:t>11</w:t>
      </w:r>
      <w:r w:rsidR="00F75D8E">
        <w:rPr>
          <w:rFonts w:eastAsia="Times New Roman"/>
          <w:bCs/>
          <w:sz w:val="24"/>
          <w:szCs w:val="24"/>
        </w:rPr>
        <w:t>6</w:t>
      </w:r>
      <w:r>
        <w:rPr>
          <w:rFonts w:eastAsia="Times New Roman"/>
          <w:bCs/>
          <w:sz w:val="24"/>
          <w:szCs w:val="24"/>
        </w:rPr>
        <w:t>/19</w:t>
      </w:r>
      <w:r w:rsidR="003F4C87" w:rsidRPr="001B0B38">
        <w:rPr>
          <w:rFonts w:eastAsia="Times New Roman"/>
          <w:bCs/>
          <w:sz w:val="24"/>
          <w:szCs w:val="24"/>
        </w:rPr>
        <w:t xml:space="preserve"> (tur</w:t>
      </w:r>
      <w:r>
        <w:rPr>
          <w:rFonts w:eastAsia="Times New Roman"/>
          <w:bCs/>
          <w:sz w:val="24"/>
          <w:szCs w:val="24"/>
        </w:rPr>
        <w:t>pmāk – Līgums) 9</w:t>
      </w:r>
      <w:r w:rsidR="00F75D8E">
        <w:rPr>
          <w:rFonts w:eastAsia="Times New Roman"/>
          <w:bCs/>
          <w:sz w:val="24"/>
          <w:szCs w:val="24"/>
        </w:rPr>
        <w:t>.3</w:t>
      </w:r>
      <w:r w:rsidR="003F4C87" w:rsidRPr="001B0B38">
        <w:rPr>
          <w:rFonts w:eastAsia="Times New Roman"/>
          <w:bCs/>
          <w:sz w:val="24"/>
          <w:szCs w:val="24"/>
        </w:rPr>
        <w:t>.punktu noslēdz šādu vienošanos (turpmāk – Vienošanās):</w:t>
      </w:r>
    </w:p>
    <w:p w:rsidR="003B143C" w:rsidRPr="001B0B38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C26319" w:rsidRPr="001B0B38" w:rsidRDefault="003F4C87" w:rsidP="00FA2950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Puses vienojas</w:t>
      </w:r>
      <w:r w:rsidR="001442F1">
        <w:rPr>
          <w:rFonts w:eastAsia="Times New Roman"/>
          <w:bCs/>
          <w:sz w:val="24"/>
          <w:szCs w:val="24"/>
        </w:rPr>
        <w:t xml:space="preserve"> palielināt Līguma 2</w:t>
      </w:r>
      <w:r w:rsidR="00C26319" w:rsidRPr="001B0B38">
        <w:rPr>
          <w:rFonts w:eastAsia="Times New Roman"/>
          <w:bCs/>
          <w:sz w:val="24"/>
          <w:szCs w:val="24"/>
        </w:rPr>
        <w:t xml:space="preserve">.1.punktā noteikto </w:t>
      </w:r>
      <w:r w:rsidR="001442F1">
        <w:rPr>
          <w:rFonts w:eastAsia="Times New Roman"/>
          <w:bCs/>
          <w:sz w:val="24"/>
          <w:szCs w:val="24"/>
        </w:rPr>
        <w:t>summu par 10 %, izsakot Līguma 2</w:t>
      </w:r>
      <w:r w:rsidR="00C26319" w:rsidRPr="001B0B38">
        <w:rPr>
          <w:rFonts w:eastAsia="Times New Roman"/>
          <w:bCs/>
          <w:sz w:val="24"/>
          <w:szCs w:val="24"/>
        </w:rPr>
        <w:t>.1.punktu šādā redakcijā:</w:t>
      </w:r>
    </w:p>
    <w:p w:rsidR="003B143C" w:rsidRPr="001442F1" w:rsidRDefault="001442F1" w:rsidP="001442F1">
      <w:pPr>
        <w:pStyle w:val="ListParagraph"/>
        <w:numPr>
          <w:ilvl w:val="1"/>
          <w:numId w:val="3"/>
        </w:numPr>
        <w:ind w:left="567" w:right="-1" w:hanging="567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“2</w:t>
      </w:r>
      <w:r w:rsidR="00C26319" w:rsidRPr="001B0B38">
        <w:rPr>
          <w:rFonts w:eastAsia="Times New Roman"/>
          <w:bCs/>
          <w:sz w:val="24"/>
          <w:szCs w:val="24"/>
        </w:rPr>
        <w:t>.1.</w:t>
      </w:r>
      <w:r w:rsidR="00FA2950" w:rsidRPr="00FA2950">
        <w:rPr>
          <w:rFonts w:ascii="Calibri" w:hAnsi="Calibri"/>
          <w:sz w:val="22"/>
          <w:szCs w:val="22"/>
        </w:rPr>
        <w:t xml:space="preserve"> </w:t>
      </w:r>
      <w:r w:rsidRPr="001442F1">
        <w:rPr>
          <w:rFonts w:eastAsiaTheme="minorHAnsi"/>
          <w:sz w:val="24"/>
          <w:szCs w:val="24"/>
        </w:rPr>
        <w:t xml:space="preserve">Līguma kopējā summa nepārsniedz </w:t>
      </w:r>
      <w:r>
        <w:rPr>
          <w:rFonts w:eastAsiaTheme="minorHAnsi"/>
          <w:b/>
          <w:sz w:val="24"/>
          <w:szCs w:val="24"/>
        </w:rPr>
        <w:t>88 55</w:t>
      </w:r>
      <w:r w:rsidRPr="001442F1">
        <w:rPr>
          <w:rFonts w:eastAsiaTheme="minorHAnsi"/>
          <w:b/>
          <w:sz w:val="24"/>
          <w:szCs w:val="24"/>
        </w:rPr>
        <w:t xml:space="preserve">0.00 </w:t>
      </w:r>
      <w:r w:rsidRPr="001442F1">
        <w:rPr>
          <w:rFonts w:eastAsiaTheme="minorHAnsi"/>
          <w:b/>
          <w:bCs/>
          <w:sz w:val="24"/>
          <w:szCs w:val="24"/>
        </w:rPr>
        <w:t>EUR</w:t>
      </w:r>
      <w:r w:rsidRPr="001442F1">
        <w:rPr>
          <w:rFonts w:eastAsiaTheme="minorHAnsi"/>
          <w:sz w:val="24"/>
          <w:szCs w:val="24"/>
        </w:rPr>
        <w:t xml:space="preserve"> (astoņdesmit </w:t>
      </w:r>
      <w:r>
        <w:rPr>
          <w:rFonts w:eastAsiaTheme="minorHAnsi"/>
          <w:sz w:val="24"/>
          <w:szCs w:val="24"/>
        </w:rPr>
        <w:t xml:space="preserve">astoņi </w:t>
      </w:r>
      <w:r w:rsidRPr="001442F1">
        <w:rPr>
          <w:rFonts w:eastAsiaTheme="minorHAnsi"/>
          <w:sz w:val="24"/>
          <w:szCs w:val="24"/>
        </w:rPr>
        <w:t xml:space="preserve">tūkstoši pieci simti </w:t>
      </w:r>
      <w:r>
        <w:rPr>
          <w:rFonts w:eastAsiaTheme="minorHAnsi"/>
          <w:sz w:val="24"/>
          <w:szCs w:val="24"/>
        </w:rPr>
        <w:t xml:space="preserve">piecdesmit </w:t>
      </w:r>
      <w:r w:rsidRPr="001442F1">
        <w:rPr>
          <w:rFonts w:eastAsiaTheme="minorHAnsi"/>
          <w:i/>
          <w:sz w:val="24"/>
          <w:szCs w:val="24"/>
        </w:rPr>
        <w:t>euro</w:t>
      </w:r>
      <w:r w:rsidRPr="001442F1">
        <w:rPr>
          <w:rFonts w:eastAsiaTheme="minorHAnsi"/>
          <w:sz w:val="24"/>
          <w:szCs w:val="24"/>
        </w:rPr>
        <w:t>) bez pievienotās vērtības nodokļa (turpmāk – PVN). PVN tiek aprēķināts un maksāts papildus saskaņā</w:t>
      </w:r>
      <w:r>
        <w:rPr>
          <w:rFonts w:eastAsiaTheme="minorHAnsi"/>
          <w:sz w:val="24"/>
          <w:szCs w:val="24"/>
        </w:rPr>
        <w:t xml:space="preserve"> ar spēkā esošo nodokļu likmi. </w:t>
      </w:r>
      <w:r w:rsidRPr="001442F1">
        <w:rPr>
          <w:rFonts w:eastAsiaTheme="minorHAnsi"/>
          <w:sz w:val="24"/>
          <w:szCs w:val="24"/>
        </w:rPr>
        <w:t xml:space="preserve">Ja, saskaņā ar normatīvajiem aktiem, turpmāk tiek grozīta </w:t>
      </w:r>
      <w:r>
        <w:rPr>
          <w:rFonts w:eastAsiaTheme="minorHAnsi"/>
          <w:sz w:val="24"/>
          <w:szCs w:val="24"/>
        </w:rPr>
        <w:t>PVN</w:t>
      </w:r>
      <w:r w:rsidRPr="001442F1">
        <w:rPr>
          <w:rFonts w:eastAsiaTheme="minorHAnsi"/>
          <w:sz w:val="24"/>
          <w:szCs w:val="24"/>
        </w:rPr>
        <w:t xml:space="preserve"> li</w:t>
      </w:r>
      <w:r>
        <w:rPr>
          <w:rFonts w:eastAsiaTheme="minorHAnsi"/>
          <w:sz w:val="24"/>
          <w:szCs w:val="24"/>
        </w:rPr>
        <w:t>kme, līgumcena (kā arī jebkuru L</w:t>
      </w:r>
      <w:r w:rsidRPr="001442F1">
        <w:rPr>
          <w:rFonts w:eastAsiaTheme="minorHAnsi"/>
          <w:sz w:val="24"/>
          <w:szCs w:val="24"/>
        </w:rPr>
        <w:t>īgumā noteikto daļējo maksājumu apmērs) ar PVN tiek grozīta atbilstoši PVN likmes izmaiņām, bez atsevišķas Pušu vienošanās, ņemot par pamatu cenu bez PVN, kas paliek nemainīga, un jauno nodokļa likmi.</w:t>
      </w:r>
      <w:r w:rsidR="00B94452" w:rsidRPr="001442F1">
        <w:rPr>
          <w:rFonts w:eastAsia="Times New Roman"/>
          <w:bCs/>
          <w:sz w:val="24"/>
          <w:szCs w:val="24"/>
        </w:rPr>
        <w:t>”.</w:t>
      </w:r>
    </w:p>
    <w:p w:rsidR="003B143C" w:rsidRPr="00E42149" w:rsidRDefault="003F4C87" w:rsidP="000F1B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E42149">
        <w:rPr>
          <w:rFonts w:eastAsia="Times New Roman"/>
          <w:bCs/>
          <w:sz w:val="24"/>
          <w:szCs w:val="24"/>
        </w:rPr>
        <w:t>Vie</w:t>
      </w:r>
      <w:r w:rsidR="00B94452" w:rsidRPr="00E42149">
        <w:rPr>
          <w:rFonts w:eastAsia="Times New Roman"/>
          <w:bCs/>
          <w:sz w:val="24"/>
          <w:szCs w:val="24"/>
        </w:rPr>
        <w:t>n</w:t>
      </w:r>
      <w:r w:rsidR="00FA2950" w:rsidRPr="00E42149">
        <w:rPr>
          <w:rFonts w:eastAsia="Times New Roman"/>
          <w:bCs/>
          <w:sz w:val="24"/>
          <w:szCs w:val="24"/>
        </w:rPr>
        <w:t>ošanās stājās spēkā 2019</w:t>
      </w:r>
      <w:r w:rsidR="004B5915" w:rsidRPr="00E42149">
        <w:rPr>
          <w:rFonts w:eastAsia="Times New Roman"/>
          <w:bCs/>
          <w:sz w:val="24"/>
          <w:szCs w:val="24"/>
        </w:rPr>
        <w:t xml:space="preserve">.gada </w:t>
      </w:r>
      <w:r w:rsidR="0095782A">
        <w:rPr>
          <w:rFonts w:eastAsia="Times New Roman"/>
          <w:bCs/>
          <w:sz w:val="24"/>
          <w:szCs w:val="24"/>
        </w:rPr>
        <w:t>25.jūlijā</w:t>
      </w:r>
      <w:r w:rsidRPr="00E42149">
        <w:rPr>
          <w:rFonts w:eastAsia="Times New Roman"/>
          <w:bCs/>
          <w:sz w:val="24"/>
          <w:szCs w:val="24"/>
        </w:rPr>
        <w:t>.</w:t>
      </w:r>
    </w:p>
    <w:p w:rsidR="003B143C" w:rsidRPr="001B0B38" w:rsidRDefault="003F4C87" w:rsidP="000F1B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Pārējie Līguma noteikumi netiek mainīti.</w:t>
      </w:r>
    </w:p>
    <w:p w:rsidR="003B143C" w:rsidRPr="001B0B38" w:rsidRDefault="003F4C87" w:rsidP="000F1B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Vienošanās ir Līguma neatņemama sastāvdaļa.</w:t>
      </w:r>
    </w:p>
    <w:p w:rsidR="003B143C" w:rsidRPr="001B0B38" w:rsidRDefault="003F4C87" w:rsidP="000F1B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</w:t>
      </w:r>
      <w:r w:rsidR="00A03E8E">
        <w:rPr>
          <w:rFonts w:eastAsia="Times New Roman"/>
          <w:bCs/>
          <w:sz w:val="24"/>
          <w:szCs w:val="24"/>
        </w:rPr>
        <w:t>Pasūtītājam</w:t>
      </w:r>
      <w:r w:rsidRPr="001B0B38">
        <w:rPr>
          <w:rFonts w:eastAsia="Times New Roman"/>
          <w:bCs/>
          <w:sz w:val="24"/>
          <w:szCs w:val="24"/>
        </w:rPr>
        <w:t xml:space="preserve">, bet otrs </w:t>
      </w:r>
      <w:r w:rsidR="0095782A">
        <w:rPr>
          <w:rFonts w:eastAsia="Times New Roman"/>
          <w:bCs/>
          <w:sz w:val="24"/>
          <w:szCs w:val="24"/>
        </w:rPr>
        <w:t>Piegādātājam</w:t>
      </w:r>
      <w:r w:rsidRPr="001B0B38">
        <w:rPr>
          <w:rFonts w:eastAsia="Times New Roman"/>
          <w:bCs/>
          <w:sz w:val="24"/>
          <w:szCs w:val="24"/>
        </w:rPr>
        <w:t>.</w:t>
      </w:r>
    </w:p>
    <w:p w:rsidR="003B143C" w:rsidRPr="001B0B38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95782A" w:rsidRPr="0095782A" w:rsidTr="008527A1">
        <w:trPr>
          <w:trHeight w:val="103"/>
        </w:trPr>
        <w:tc>
          <w:tcPr>
            <w:tcW w:w="4608" w:type="dxa"/>
          </w:tcPr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95782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Pasūtītājs: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5782A">
              <w:rPr>
                <w:rFonts w:eastAsia="Times New Roman"/>
                <w:b/>
                <w:bCs/>
                <w:sz w:val="24"/>
                <w:szCs w:val="24"/>
              </w:rPr>
              <w:t>VSIA “Paula Stradiņa klīniskās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5782A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>Reģ. Nr. 40003457109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>Pilsoņu iela 13, Rīga, LV-1002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 xml:space="preserve">Konta Nr. </w:t>
            </w:r>
            <w:r w:rsidRPr="0095782A">
              <w:rPr>
                <w:rFonts w:eastAsia="Times New Roman"/>
                <w:bCs/>
                <w:sz w:val="24"/>
                <w:szCs w:val="24"/>
              </w:rPr>
              <w:t>LV74HABA0551027673367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 xml:space="preserve">Banka: AS Swedbank  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 xml:space="preserve">Kods: </w:t>
            </w:r>
            <w:r w:rsidRPr="0095782A">
              <w:rPr>
                <w:rFonts w:eastAsia="Times New Roman"/>
                <w:bCs/>
                <w:sz w:val="24"/>
                <w:szCs w:val="24"/>
              </w:rPr>
              <w:t>HABALV22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>I.Kreicberga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5782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95782A">
              <w:rPr>
                <w:rFonts w:eastAsia="Times New Roman"/>
                <w:b/>
                <w:sz w:val="24"/>
                <w:szCs w:val="24"/>
              </w:rPr>
              <w:t>SIA “UMT”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>Reģ. Nr.</w:t>
            </w:r>
            <w:r w:rsidRPr="0095782A">
              <w:rPr>
                <w:rFonts w:eastAsia="Times New Roman"/>
                <w:sz w:val="22"/>
                <w:szCs w:val="22"/>
              </w:rPr>
              <w:t xml:space="preserve"> 50103458511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>Baldones iela 12, Rīga, LV - 1007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>Konta Nr. LV57HABA0551031464627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>Banka: AS Swedbank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 xml:space="preserve">Kods: </w:t>
            </w:r>
            <w:r w:rsidRPr="0095782A">
              <w:rPr>
                <w:rFonts w:eastAsia="Times New Roman"/>
                <w:bCs/>
                <w:sz w:val="24"/>
                <w:szCs w:val="24"/>
              </w:rPr>
              <w:t>HABALV22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95782A">
              <w:rPr>
                <w:rFonts w:eastAsia="Times New Roman"/>
                <w:sz w:val="24"/>
                <w:szCs w:val="24"/>
              </w:rPr>
              <w:t>U.Ārgalis</w:t>
            </w: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right"/>
              <w:textAlignment w:val="auto"/>
              <w:rPr>
                <w:rFonts w:eastAsia="Times New Roman"/>
              </w:rPr>
            </w:pPr>
            <w:bookmarkStart w:id="0" w:name="_GoBack"/>
            <w:bookmarkEnd w:id="0"/>
          </w:p>
          <w:p w:rsidR="0095782A" w:rsidRPr="0095782A" w:rsidRDefault="0095782A" w:rsidP="0095782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</w:rPr>
            </w:pPr>
          </w:p>
        </w:tc>
      </w:tr>
    </w:tbl>
    <w:p w:rsidR="003B143C" w:rsidRPr="001B0B38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3B143C" w:rsidRPr="001B0B38" w:rsidRDefault="003B143C">
      <w:pPr>
        <w:rPr>
          <w:sz w:val="24"/>
          <w:szCs w:val="24"/>
        </w:rPr>
      </w:pPr>
    </w:p>
    <w:sectPr w:rsidR="003B143C" w:rsidRPr="001B0B38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54" w:rsidRDefault="003F4C87">
      <w:pPr>
        <w:spacing w:after="0" w:line="240" w:lineRule="auto"/>
      </w:pPr>
      <w:r>
        <w:separator/>
      </w:r>
    </w:p>
  </w:endnote>
  <w:endnote w:type="continuationSeparator" w:id="0">
    <w:p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81905"/>
    <w:multiLevelType w:val="multilevel"/>
    <w:tmpl w:val="E25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6ED510B"/>
    <w:multiLevelType w:val="multilevel"/>
    <w:tmpl w:val="D82EE3DA"/>
    <w:lvl w:ilvl="0">
      <w:start w:val="1"/>
      <w:numFmt w:val="decimal"/>
      <w:lvlText w:val="%1."/>
      <w:lvlJc w:val="left"/>
      <w:pPr>
        <w:ind w:left="641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1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1" w:hanging="1800"/>
      </w:pPr>
      <w:rPr>
        <w:rFonts w:hint="default"/>
      </w:rPr>
    </w:lvl>
  </w:abstractNum>
  <w:abstractNum w:abstractNumId="3" w15:restartNumberingAfterBreak="0">
    <w:nsid w:val="736B171D"/>
    <w:multiLevelType w:val="multilevel"/>
    <w:tmpl w:val="B498BE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F1B39"/>
    <w:rsid w:val="001442F1"/>
    <w:rsid w:val="001B0B38"/>
    <w:rsid w:val="002752A6"/>
    <w:rsid w:val="003B143C"/>
    <w:rsid w:val="003F4C87"/>
    <w:rsid w:val="004B5915"/>
    <w:rsid w:val="00676B54"/>
    <w:rsid w:val="006B7837"/>
    <w:rsid w:val="00747E89"/>
    <w:rsid w:val="00850428"/>
    <w:rsid w:val="00857403"/>
    <w:rsid w:val="00921581"/>
    <w:rsid w:val="0095782A"/>
    <w:rsid w:val="00A03E8E"/>
    <w:rsid w:val="00A47DF5"/>
    <w:rsid w:val="00B94452"/>
    <w:rsid w:val="00C26319"/>
    <w:rsid w:val="00C60793"/>
    <w:rsid w:val="00E42149"/>
    <w:rsid w:val="00E758D6"/>
    <w:rsid w:val="00F022C4"/>
    <w:rsid w:val="00F75D8E"/>
    <w:rsid w:val="00FA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5</cp:revision>
  <dcterms:created xsi:type="dcterms:W3CDTF">2019-07-25T07:40:00Z</dcterms:created>
  <dcterms:modified xsi:type="dcterms:W3CDTF">2019-07-25T07:52:00Z</dcterms:modified>
</cp:coreProperties>
</file>