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7A237C" w:rsidRPr="007A237C" w:rsidTr="00932B4C">
        <w:trPr>
          <w:trHeight w:val="803"/>
        </w:trPr>
        <w:tc>
          <w:tcPr>
            <w:tcW w:w="9759" w:type="dxa"/>
            <w:tcBorders>
              <w:top w:val="nil"/>
              <w:left w:val="nil"/>
              <w:bottom w:val="nil"/>
              <w:right w:val="nil"/>
            </w:tcBorders>
          </w:tcPr>
          <w:p w:rsidR="007A237C" w:rsidRPr="007A237C" w:rsidRDefault="007A237C" w:rsidP="007A237C">
            <w:pPr>
              <w:spacing w:after="0" w:line="240" w:lineRule="auto"/>
              <w:ind w:right="49"/>
              <w:jc w:val="both"/>
              <w:outlineLvl w:val="0"/>
              <w:rPr>
                <w:rFonts w:ascii="Times New Roman" w:eastAsia="Times New Roman" w:hAnsi="Times New Roman" w:cs="Times New Roman"/>
                <w:sz w:val="24"/>
                <w:szCs w:val="24"/>
                <w:lang w:eastAsia="lv-LV"/>
              </w:rPr>
            </w:pPr>
          </w:p>
          <w:p w:rsidR="007A237C" w:rsidRPr="007A237C" w:rsidRDefault="007A237C" w:rsidP="007A237C">
            <w:pPr>
              <w:spacing w:after="0" w:line="240" w:lineRule="auto"/>
              <w:ind w:right="49"/>
              <w:jc w:val="center"/>
              <w:outlineLvl w:val="0"/>
              <w:rPr>
                <w:rFonts w:ascii="Times New Roman" w:eastAsia="Times New Roman" w:hAnsi="Times New Roman" w:cs="Times New Roman"/>
                <w:b/>
                <w:sz w:val="24"/>
                <w:szCs w:val="24"/>
                <w:lang w:eastAsia="lv-LV"/>
              </w:rPr>
            </w:pPr>
            <w:r w:rsidRPr="007A237C">
              <w:rPr>
                <w:rFonts w:ascii="Times New Roman" w:eastAsia="Times New Roman" w:hAnsi="Times New Roman" w:cs="Times New Roman"/>
                <w:b/>
                <w:sz w:val="24"/>
                <w:szCs w:val="24"/>
                <w:lang w:eastAsia="lv-LV"/>
              </w:rPr>
              <w:t>VISPĀRĪGĀ VIENOŠANĀS Nr.</w:t>
            </w:r>
            <w:r>
              <w:rPr>
                <w:rFonts w:ascii="Times New Roman" w:eastAsia="Times New Roman" w:hAnsi="Times New Roman" w:cs="Times New Roman"/>
                <w:b/>
                <w:sz w:val="24"/>
                <w:szCs w:val="24"/>
                <w:lang w:eastAsia="lv-LV"/>
              </w:rPr>
              <w:t xml:space="preserve"> SKUS </w:t>
            </w:r>
            <w:r w:rsidR="00281E87">
              <w:rPr>
                <w:rFonts w:ascii="Times New Roman" w:eastAsia="Times New Roman" w:hAnsi="Times New Roman" w:cs="Times New Roman"/>
                <w:b/>
                <w:sz w:val="24"/>
                <w:szCs w:val="24"/>
                <w:lang w:eastAsia="lv-LV"/>
              </w:rPr>
              <w:t>362/19-VV</w:t>
            </w:r>
          </w:p>
          <w:p w:rsidR="007A237C" w:rsidRPr="007A237C" w:rsidRDefault="007A237C" w:rsidP="007A237C">
            <w:pPr>
              <w:spacing w:after="0" w:line="240" w:lineRule="auto"/>
              <w:ind w:right="49"/>
              <w:jc w:val="center"/>
              <w:outlineLvl w:val="0"/>
              <w:rPr>
                <w:rFonts w:ascii="Times New Roman" w:eastAsia="Times New Roman" w:hAnsi="Times New Roman" w:cs="Times New Roman"/>
                <w:i/>
                <w:iCs/>
                <w:sz w:val="24"/>
                <w:szCs w:val="24"/>
              </w:rPr>
            </w:pPr>
            <w:r w:rsidRPr="007A237C">
              <w:rPr>
                <w:rFonts w:ascii="Times New Roman" w:eastAsia="Times New Roman" w:hAnsi="Times New Roman" w:cs="Times New Roman"/>
                <w:i/>
                <w:iCs/>
                <w:sz w:val="24"/>
                <w:szCs w:val="24"/>
              </w:rPr>
              <w:t>Medikamentu uzglabāšanas  zemā temperatūrā aptiekas telpās aparatūras piegāde</w:t>
            </w:r>
          </w:p>
        </w:tc>
      </w:tr>
      <w:tr w:rsidR="007A237C" w:rsidRPr="007A237C" w:rsidTr="00932B4C">
        <w:trPr>
          <w:trHeight w:val="453"/>
        </w:trPr>
        <w:tc>
          <w:tcPr>
            <w:tcW w:w="9759" w:type="dxa"/>
            <w:tcBorders>
              <w:top w:val="nil"/>
              <w:left w:val="nil"/>
              <w:bottom w:val="nil"/>
              <w:right w:val="nil"/>
            </w:tcBorders>
          </w:tcPr>
          <w:p w:rsidR="007A237C" w:rsidRPr="007A237C" w:rsidRDefault="007A237C" w:rsidP="007A237C">
            <w:pPr>
              <w:spacing w:after="0" w:line="240" w:lineRule="auto"/>
              <w:ind w:right="49"/>
              <w:jc w:val="center"/>
              <w:rPr>
                <w:rFonts w:ascii="Times New Roman" w:eastAsia="Times New Roman" w:hAnsi="Times New Roman" w:cs="Times New Roman"/>
                <w:sz w:val="24"/>
                <w:szCs w:val="24"/>
                <w:lang w:eastAsia="lv-LV"/>
              </w:rPr>
            </w:pPr>
          </w:p>
          <w:p w:rsidR="007A237C" w:rsidRPr="007A237C" w:rsidRDefault="007A237C" w:rsidP="007A237C">
            <w:pPr>
              <w:spacing w:after="0" w:line="240" w:lineRule="auto"/>
              <w:ind w:right="49"/>
              <w:jc w:val="center"/>
              <w:rPr>
                <w:rFonts w:ascii="Times New Roman" w:eastAsia="Times New Roman" w:hAnsi="Times New Roman" w:cs="Times New Roman"/>
                <w:sz w:val="24"/>
                <w:szCs w:val="24"/>
                <w:lang w:eastAsia="lv-LV"/>
              </w:rPr>
            </w:pPr>
            <w:r w:rsidRPr="007A237C">
              <w:rPr>
                <w:rFonts w:ascii="Times New Roman" w:eastAsia="Times New Roman" w:hAnsi="Times New Roman" w:cs="Times New Roman"/>
                <w:sz w:val="24"/>
                <w:szCs w:val="24"/>
                <w:lang w:eastAsia="lv-LV"/>
              </w:rPr>
              <w:t xml:space="preserve">Rīgā,                                                                                         2019.gada </w:t>
            </w:r>
            <w:r w:rsidR="00281E87">
              <w:rPr>
                <w:rFonts w:ascii="Times New Roman" w:eastAsia="Times New Roman" w:hAnsi="Times New Roman" w:cs="Times New Roman"/>
                <w:sz w:val="24"/>
                <w:szCs w:val="24"/>
                <w:lang w:eastAsia="lv-LV"/>
              </w:rPr>
              <w:t>2.jūlijs</w:t>
            </w:r>
            <w:bookmarkStart w:id="0" w:name="_GoBack"/>
            <w:bookmarkEnd w:id="0"/>
          </w:p>
          <w:p w:rsidR="007A237C" w:rsidRPr="007A237C" w:rsidRDefault="007A237C" w:rsidP="007A237C">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7A237C" w:rsidRPr="007A237C" w:rsidRDefault="007A237C" w:rsidP="007A237C">
      <w:pPr>
        <w:spacing w:after="0" w:line="240" w:lineRule="auto"/>
        <w:ind w:right="49"/>
        <w:jc w:val="both"/>
        <w:rPr>
          <w:rFonts w:ascii="Times New Roman" w:eastAsia="Times New Roman" w:hAnsi="Times New Roman" w:cs="Times New Roman"/>
          <w:sz w:val="24"/>
          <w:szCs w:val="24"/>
        </w:rPr>
      </w:pPr>
      <w:r w:rsidRPr="007A237C">
        <w:rPr>
          <w:rFonts w:ascii="Times New Roman" w:eastAsia="Times New Roman" w:hAnsi="Times New Roman" w:cs="Times New Roman"/>
          <w:b/>
          <w:bCs/>
          <w:sz w:val="24"/>
          <w:szCs w:val="24"/>
        </w:rPr>
        <w:t>VSIA „Paula Stradiņa klīniskā universitātes slimnīca”</w:t>
      </w:r>
      <w:r w:rsidRPr="007A237C">
        <w:rPr>
          <w:rFonts w:ascii="Times New Roman" w:eastAsia="Times New Roman" w:hAnsi="Times New Roman" w:cs="Times New Roman"/>
          <w:snapToGrid w:val="0"/>
          <w:sz w:val="24"/>
          <w:szCs w:val="24"/>
        </w:rPr>
        <w:t>, reģ.Nr.</w:t>
      </w:r>
      <w:r w:rsidRPr="007A237C">
        <w:rPr>
          <w:rFonts w:ascii="Times New Roman" w:eastAsia="Times New Roman" w:hAnsi="Times New Roman" w:cs="Times New Roman"/>
          <w:sz w:val="24"/>
          <w:szCs w:val="24"/>
        </w:rPr>
        <w:t xml:space="preserve">40003457109, kuru, </w:t>
      </w:r>
      <w:r>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 xml:space="preserve">, </w:t>
      </w:r>
      <w:r w:rsidRPr="007A237C">
        <w:rPr>
          <w:rFonts w:ascii="Times New Roman" w:eastAsia="Times New Roman" w:hAnsi="Times New Roman" w:cs="Times New Roman"/>
          <w:sz w:val="24"/>
          <w:szCs w:val="24"/>
        </w:rPr>
        <w:t>un</w:t>
      </w:r>
    </w:p>
    <w:p w:rsidR="007A237C" w:rsidRPr="007A237C" w:rsidRDefault="007A237C" w:rsidP="007A237C">
      <w:pPr>
        <w:spacing w:after="0" w:line="240" w:lineRule="auto"/>
        <w:ind w:right="49"/>
        <w:jc w:val="both"/>
        <w:rPr>
          <w:rFonts w:ascii="Times New Roman" w:eastAsia="Times New Roman" w:hAnsi="Times New Roman" w:cs="Times New Roman"/>
          <w:sz w:val="24"/>
          <w:szCs w:val="24"/>
        </w:rPr>
      </w:pPr>
      <w:bookmarkStart w:id="1" w:name="_Hlk496101768"/>
      <w:r w:rsidRPr="007A237C">
        <w:rPr>
          <w:rFonts w:ascii="Times New Roman" w:eastAsia="Times New Roman" w:hAnsi="Times New Roman" w:cs="Times New Roman"/>
          <w:b/>
          <w:bCs/>
          <w:sz w:val="24"/>
          <w:szCs w:val="24"/>
        </w:rPr>
        <w:t>SIA “</w:t>
      </w:r>
      <w:r w:rsidR="009F6824">
        <w:rPr>
          <w:rFonts w:ascii="Times New Roman" w:eastAsia="Times New Roman" w:hAnsi="Times New Roman" w:cs="Times New Roman"/>
          <w:b/>
          <w:sz w:val="24"/>
          <w:szCs w:val="24"/>
        </w:rPr>
        <w:t>BioAvots</w:t>
      </w:r>
      <w:r w:rsidRPr="007A237C">
        <w:rPr>
          <w:rFonts w:ascii="Times New Roman" w:eastAsia="Times New Roman" w:hAnsi="Times New Roman" w:cs="Times New Roman"/>
          <w:b/>
          <w:bCs/>
          <w:sz w:val="24"/>
          <w:szCs w:val="24"/>
        </w:rPr>
        <w:t>”</w:t>
      </w:r>
      <w:r w:rsidRPr="007A237C">
        <w:rPr>
          <w:rFonts w:ascii="Times New Roman" w:eastAsia="Times New Roman" w:hAnsi="Times New Roman" w:cs="Times New Roman"/>
          <w:sz w:val="24"/>
          <w:szCs w:val="24"/>
        </w:rPr>
        <w:t xml:space="preserve">, reģistrācijas Nr. </w:t>
      </w:r>
      <w:r w:rsidR="002357F5">
        <w:rPr>
          <w:rFonts w:ascii="Times New Roman" w:eastAsia="Times New Roman" w:hAnsi="Times New Roman" w:cs="Times New Roman"/>
          <w:sz w:val="24"/>
          <w:szCs w:val="24"/>
        </w:rPr>
        <w:t>40103326392</w:t>
      </w:r>
      <w:r w:rsidRPr="007A237C">
        <w:rPr>
          <w:rFonts w:ascii="Times New Roman" w:eastAsia="Times New Roman" w:hAnsi="Times New Roman" w:cs="Times New Roman"/>
          <w:sz w:val="24"/>
          <w:szCs w:val="24"/>
        </w:rPr>
        <w:t xml:space="preserve">, tās </w:t>
      </w:r>
      <w:r w:rsidR="00E84EEC">
        <w:rPr>
          <w:rFonts w:ascii="Times New Roman" w:eastAsia="Times New Roman" w:hAnsi="Times New Roman" w:cs="Times New Roman"/>
          <w:sz w:val="24"/>
          <w:szCs w:val="24"/>
        </w:rPr>
        <w:t>produktu speciālistes Elīnas Glodas personā, kura rīkojas saskaņā ar 2017.gada 16.jūnija pilnvaru Nr.11/17FI</w:t>
      </w:r>
      <w:bookmarkEnd w:id="1"/>
      <w:r w:rsidRPr="007A23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237C">
        <w:rPr>
          <w:rFonts w:ascii="Times New Roman" w:eastAsia="Times New Roman" w:hAnsi="Times New Roman" w:cs="Times New Roman"/>
          <w:sz w:val="24"/>
          <w:szCs w:val="24"/>
        </w:rPr>
        <w:t>(turpmāk - Piegādātājs) (visi kopā Puses un katrs atsevišķi - Puse), pamatojoties uz iepirkuma „</w:t>
      </w:r>
      <w:bookmarkStart w:id="2" w:name="_Hlk11830318"/>
      <w:r w:rsidRPr="007A237C">
        <w:rPr>
          <w:rFonts w:ascii="Times New Roman" w:eastAsia="Times New Roman" w:hAnsi="Times New Roman" w:cs="Times New Roman"/>
          <w:sz w:val="24"/>
          <w:szCs w:val="24"/>
        </w:rPr>
        <w:t>Medikamentu uzglabāšanas  zemā temperatūrā aptiekas telpās aparatūras piegāde</w:t>
      </w:r>
      <w:bookmarkEnd w:id="2"/>
      <w:r w:rsidRPr="007A237C">
        <w:rPr>
          <w:rFonts w:ascii="Times New Roman" w:eastAsia="Times New Roman" w:hAnsi="Times New Roman" w:cs="Times New Roman"/>
          <w:sz w:val="24"/>
          <w:szCs w:val="24"/>
        </w:rPr>
        <w:t>” (ID Nr. PSKUS 2019/32) rezultātiem un, saskaņā ar katra Piegādātāja iepirkumā iesniegto piedāvājumu, noslēdz šādu vispārīgo vienošanos (turpmāk – Vienošanās):</w:t>
      </w:r>
    </w:p>
    <w:p w:rsidR="007A237C" w:rsidRPr="007A237C" w:rsidRDefault="007A237C" w:rsidP="007A237C">
      <w:pPr>
        <w:spacing w:after="0" w:line="240" w:lineRule="auto"/>
        <w:ind w:right="49"/>
        <w:jc w:val="both"/>
        <w:rPr>
          <w:rFonts w:ascii="Times New Roman" w:eastAsia="Times New Roman" w:hAnsi="Times New Roman" w:cs="Times New Roman"/>
          <w:b/>
          <w:sz w:val="24"/>
          <w:szCs w:val="24"/>
        </w:rPr>
      </w:pPr>
    </w:p>
    <w:p w:rsidR="007A237C" w:rsidRPr="007A237C" w:rsidRDefault="007A237C" w:rsidP="007A237C">
      <w:pPr>
        <w:numPr>
          <w:ilvl w:val="0"/>
          <w:numId w:val="1"/>
        </w:numPr>
        <w:spacing w:after="0" w:line="240" w:lineRule="auto"/>
        <w:ind w:right="49"/>
        <w:jc w:val="center"/>
        <w:rPr>
          <w:rFonts w:ascii="Times New Roman" w:eastAsia="Times New Roman" w:hAnsi="Times New Roman" w:cs="Times New Roman"/>
          <w:b/>
          <w:bCs/>
          <w:sz w:val="24"/>
          <w:szCs w:val="24"/>
        </w:rPr>
      </w:pPr>
      <w:r w:rsidRPr="007A237C">
        <w:rPr>
          <w:rFonts w:ascii="Times New Roman" w:eastAsia="Times New Roman" w:hAnsi="Times New Roman" w:cs="Times New Roman"/>
          <w:b/>
          <w:bCs/>
          <w:sz w:val="24"/>
          <w:szCs w:val="24"/>
        </w:rPr>
        <w:t>Vienošanās priekšmets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Vienošanās nosaka kārtību, kādā tiek slēgti līgumi par iepirkuma “Medikamentu uzglabāšanas  zemā temperatūrā aptiekas telpās aparatūras piegāde”, ID Nr.PSKUS 2019/32, tehniskajā specifikācijā paredzētajām piegādēm.</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Ar Vienošanās parakstīšanu Piegādātājiem, kuri piedāvājuši viszemāko cenu attiecīgajā iepirkuma priekšmeta daļā, tiek piešķirtas tiesības slēgt iepirkuma līgumu ar Pasūtītāju par medikamentu uzglabāšanas  zemā temperatūrā aptiekas telpās aparatūras piegādi (turpmāk– Prece), saskaņā ar Piegādātāja attiecīgajā iepirkuma priekšmeta daļā piedāvāto vienību cenu.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Vienošanās nosaka Pušu tiesības un pienākumus, kuri ir saistoši visā Vienošanās darbības laikā.</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Vienošanās lasāma kopā ar tās pielikumiem.</w:t>
      </w:r>
      <w:r w:rsidRPr="007A237C">
        <w:rPr>
          <w:rFonts w:ascii="Calibri" w:eastAsia="Calibri" w:hAnsi="Calibri" w:cs="Times New Roman"/>
          <w:b/>
          <w:bCs/>
        </w:rPr>
        <w:t xml:space="preserve"> </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7A237C" w:rsidRPr="007A237C" w:rsidRDefault="007A237C" w:rsidP="007A237C">
      <w:pPr>
        <w:spacing w:after="0" w:line="240" w:lineRule="auto"/>
        <w:ind w:left="720" w:right="49"/>
        <w:jc w:val="both"/>
        <w:rPr>
          <w:rFonts w:ascii="Times New Roman" w:eastAsia="Times New Roman" w:hAnsi="Times New Roman" w:cs="Times New Roman"/>
          <w:b/>
          <w:bCs/>
          <w:sz w:val="24"/>
          <w:szCs w:val="24"/>
        </w:rPr>
      </w:pPr>
    </w:p>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Vienošanās summa</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Calibri" w:hAnsi="Times New Roman" w:cs="Times New Roman"/>
          <w:bCs/>
          <w:sz w:val="24"/>
          <w:szCs w:val="24"/>
        </w:rPr>
        <w:t xml:space="preserve">Vienošanās maksimālā summa ir </w:t>
      </w:r>
      <w:r w:rsidRPr="00BB6F32">
        <w:rPr>
          <w:rFonts w:ascii="Times New Roman" w:eastAsia="Calibri" w:hAnsi="Times New Roman" w:cs="Times New Roman"/>
          <w:b/>
          <w:sz w:val="24"/>
          <w:szCs w:val="24"/>
        </w:rPr>
        <w:t>20 700.00</w:t>
      </w:r>
      <w:r w:rsidRPr="007A237C">
        <w:rPr>
          <w:rFonts w:ascii="Times New Roman" w:eastAsia="Calibri" w:hAnsi="Times New Roman" w:cs="Times New Roman"/>
          <w:b/>
          <w:sz w:val="24"/>
          <w:szCs w:val="24"/>
        </w:rPr>
        <w:t xml:space="preserve"> EUR</w:t>
      </w:r>
      <w:r w:rsidRPr="007A237C">
        <w:rPr>
          <w:rFonts w:ascii="Times New Roman" w:eastAsia="Calibri" w:hAnsi="Times New Roman" w:cs="Times New Roman"/>
          <w:bCs/>
          <w:sz w:val="24"/>
          <w:szCs w:val="24"/>
        </w:rPr>
        <w:t xml:space="preserve"> </w:t>
      </w:r>
      <w:r w:rsidR="00BB6F32">
        <w:rPr>
          <w:rFonts w:ascii="Times New Roman" w:eastAsia="Calibri" w:hAnsi="Times New Roman" w:cs="Times New Roman"/>
          <w:bCs/>
          <w:sz w:val="24"/>
          <w:szCs w:val="24"/>
        </w:rPr>
        <w:t xml:space="preserve">(divdesmit tūkstoši septiņi simti </w:t>
      </w:r>
      <w:r w:rsidRPr="007A237C">
        <w:rPr>
          <w:rFonts w:ascii="Times New Roman" w:eastAsia="Calibri" w:hAnsi="Times New Roman" w:cs="Times New Roman"/>
          <w:bCs/>
          <w:i/>
          <w:sz w:val="24"/>
          <w:szCs w:val="24"/>
        </w:rPr>
        <w:t>euro</w:t>
      </w:r>
      <w:r w:rsidRPr="007A237C">
        <w:rPr>
          <w:rFonts w:ascii="Times New Roman" w:eastAsia="Calibri" w:hAnsi="Times New Roman" w:cs="Times New Roman"/>
          <w:bCs/>
          <w:sz w:val="24"/>
          <w:szCs w:val="24"/>
        </w:rPr>
        <w:t xml:space="preserve"> un </w:t>
      </w:r>
      <w:r w:rsidR="00BB6F32">
        <w:rPr>
          <w:rFonts w:ascii="Times New Roman" w:eastAsia="Calibri" w:hAnsi="Times New Roman" w:cs="Times New Roman"/>
          <w:bCs/>
          <w:sz w:val="24"/>
          <w:szCs w:val="24"/>
        </w:rPr>
        <w:t xml:space="preserve">00 </w:t>
      </w:r>
      <w:r w:rsidRPr="007A237C">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7A237C" w:rsidRPr="007A237C" w:rsidRDefault="007A237C" w:rsidP="007A237C">
      <w:pPr>
        <w:numPr>
          <w:ilvl w:val="1"/>
          <w:numId w:val="1"/>
        </w:numPr>
        <w:spacing w:after="0" w:line="240" w:lineRule="auto"/>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Vienošanās 2.1.punktā norādītajā summā ir ietverti visi Piegādātāja izdevumi, kas tam rodas saistībā ar Vienošanās izpildi, tajā skaitā izdevumi, kas saistīti ar Preces piegādi Pasūtītājam uz Līguma 3.1.6.punktā norādīto adresi, pārbaudi, tajā skaitā transporta izmaksas, darbs, materiāli, lietotāju apmācību u.c. saistītās izmaksas, iekļaujot ražotāja noteikto apkopju un to komplektu nomaiņas cenas Preces garantijas laikā. Piegādātājs Preces piegādi līdz Pasūtītāja norādītajai uzstādīšanas vietai veic ar saviem resursiem.</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Times New Roman" w:hAnsi="Times New Roman" w:cs="Times New Roman"/>
          <w:sz w:val="24"/>
          <w:szCs w:val="24"/>
        </w:rPr>
        <w:t>Preču cenas bez PVN netiek paaugstinātas visu Līguma darbības laiku.</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7A237C">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iepirkuma ietvaros.</w:t>
      </w:r>
    </w:p>
    <w:p w:rsidR="007A237C" w:rsidRDefault="007A237C" w:rsidP="007A237C">
      <w:pPr>
        <w:spacing w:after="0" w:line="240" w:lineRule="auto"/>
        <w:ind w:right="49"/>
        <w:jc w:val="both"/>
        <w:rPr>
          <w:rFonts w:ascii="Times New Roman" w:eastAsia="Times New Roman" w:hAnsi="Times New Roman" w:cs="Times New Roman"/>
          <w:b/>
          <w:bCs/>
          <w:sz w:val="24"/>
          <w:szCs w:val="24"/>
        </w:rPr>
      </w:pPr>
    </w:p>
    <w:p w:rsidR="004C4436" w:rsidRPr="007A237C" w:rsidRDefault="004C4436"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Calibri" w:eastAsia="Calibri" w:hAnsi="Calibri" w:cs="Times New Roman"/>
          <w:b/>
          <w:bCs/>
        </w:rPr>
      </w:pPr>
      <w:r w:rsidRPr="007A237C">
        <w:rPr>
          <w:rFonts w:ascii="Times New Roman" w:eastAsia="Calibri" w:hAnsi="Times New Roman" w:cs="Times New Roman"/>
          <w:b/>
          <w:bCs/>
          <w:sz w:val="24"/>
          <w:szCs w:val="24"/>
        </w:rPr>
        <w:t>Vienošanās darbības laiks un spēkā esamība</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Calibri" w:hAnsi="Times New Roman" w:cs="Times New Roman"/>
          <w:bCs/>
          <w:sz w:val="24"/>
          <w:szCs w:val="24"/>
        </w:rPr>
        <w:t>Vienošanās stājas spēkā tās abpusējas parakstīšanas brīdī un ir spēkā līdz īsākajam no šādiem termiņiem:</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līdz Vienošanās 2.1.punktā noteiktās summas izlietojumam;</w:t>
      </w:r>
    </w:p>
    <w:p w:rsidR="007A237C" w:rsidRPr="007A237C" w:rsidRDefault="007A237C" w:rsidP="007A237C">
      <w:pPr>
        <w:numPr>
          <w:ilvl w:val="2"/>
          <w:numId w:val="1"/>
        </w:numPr>
        <w:tabs>
          <w:tab w:val="num" w:pos="1276"/>
        </w:tabs>
        <w:spacing w:after="0" w:line="240" w:lineRule="auto"/>
        <w:ind w:left="1276" w:right="49" w:hanging="709"/>
        <w:jc w:val="both"/>
        <w:rPr>
          <w:rFonts w:ascii="Calibri" w:eastAsia="Calibri" w:hAnsi="Calibri" w:cs="Times New Roman"/>
          <w:b/>
          <w:bCs/>
        </w:rPr>
      </w:pPr>
      <w:r w:rsidRPr="007A237C">
        <w:rPr>
          <w:rFonts w:ascii="Times New Roman" w:eastAsia="Times New Roman" w:hAnsi="Times New Roman" w:cs="Times New Roman"/>
          <w:sz w:val="24"/>
          <w:szCs w:val="24"/>
        </w:rPr>
        <w:t>36 (trīsdesmit seši) mēneši no Vienošanās spēkā stāšanās dienas.</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bookmarkStart w:id="3" w:name="_Hlk512334731"/>
      <w:r w:rsidRPr="007A237C">
        <w:rPr>
          <w:rFonts w:ascii="Times New Roman" w:eastAsia="Times New Roman" w:hAnsi="Times New Roman" w:cs="Times New Roman"/>
          <w:sz w:val="24"/>
          <w:szCs w:val="24"/>
        </w:rPr>
        <w:t xml:space="preserve">Ja Vienošanās darbības laikā netiek sasniegta Vienošanās 2.1.punktā noteiktā summa, </w:t>
      </w:r>
      <w:bookmarkEnd w:id="3"/>
      <w:r w:rsidRPr="007A237C">
        <w:rPr>
          <w:rFonts w:ascii="Times New Roman" w:eastAsia="Times New Roman" w:hAnsi="Times New Roman" w:cs="Times New Roman"/>
          <w:sz w:val="24"/>
          <w:szCs w:val="24"/>
          <w:lang w:eastAsia="lv-LV"/>
        </w:rPr>
        <w:t>Vienošanās darbības termiņš var tikt pagarināts ņemot vērā Publisko iepirkumu likumā noteikto maksimālo termiņu no Vienošanās noslēgšanas brīža, nepārsniedzot Vienošanās kopējo summu.</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7A237C" w:rsidRPr="007A237C" w:rsidRDefault="007A237C" w:rsidP="007A237C">
      <w:pPr>
        <w:numPr>
          <w:ilvl w:val="1"/>
          <w:numId w:val="1"/>
        </w:numPr>
        <w:spacing w:after="0" w:line="240" w:lineRule="auto"/>
        <w:ind w:right="49"/>
        <w:jc w:val="both"/>
        <w:rPr>
          <w:rFonts w:ascii="Times New Roman" w:eastAsia="Calibri" w:hAnsi="Times New Roman" w:cs="Times New Roman"/>
          <w:b/>
          <w:bCs/>
          <w:sz w:val="24"/>
          <w:szCs w:val="24"/>
        </w:rPr>
      </w:pPr>
      <w:r w:rsidRPr="007A237C">
        <w:rPr>
          <w:rFonts w:ascii="Times New Roman" w:eastAsia="Calibri" w:hAnsi="Times New Roman" w:cs="Times New Roman"/>
          <w:bCs/>
          <w:sz w:val="24"/>
          <w:szCs w:val="24"/>
        </w:rPr>
        <w:t>Pusēm ir tiesības nekavējoties vienpusēji izbeigt Vienošanos, ja:</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Calibri" w:hAnsi="Times New Roman" w:cs="Times New Roman"/>
          <w:bCs/>
          <w:sz w:val="24"/>
          <w:szCs w:val="24"/>
        </w:rPr>
        <w:t xml:space="preserve">kādai no Pusēm ir uzsākts </w:t>
      </w:r>
      <w:r w:rsidRPr="007A237C">
        <w:rPr>
          <w:rFonts w:ascii="Times New Roman" w:eastAsia="Times New Roman" w:hAnsi="Times New Roman" w:cs="Times New Roman"/>
          <w:sz w:val="24"/>
          <w:szCs w:val="24"/>
        </w:rPr>
        <w:t>maksātnespējas process, likvidācija, tā darbība tiek izbeigta vai pārtraukta, vai ir apturēta tā saimnieciskā darbība;</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Piegādātājs Līguma noslēgšanas vai tā izpildes laikā sniedzis nepatiesas vai nepilnīgas ziņas vai apliecinājumus;</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iestājušies apstākļi, kas apgrūtina vai padara neiespējamu šajā Līgumā noteikto saistību izpildi kādai no Pusēm;</w:t>
      </w:r>
    </w:p>
    <w:p w:rsidR="007A237C" w:rsidRPr="007A237C" w:rsidRDefault="007A237C" w:rsidP="007A237C">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Pasūtītājam zudusi vajadzība pēc Precēm;</w:t>
      </w:r>
    </w:p>
    <w:p w:rsidR="007A237C" w:rsidRPr="007A237C" w:rsidRDefault="007A237C" w:rsidP="007A237C">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Piegādātājs zaudējis ražotāja izsniegto autorizāciju piegādāt Preces;</w:t>
      </w:r>
    </w:p>
    <w:p w:rsidR="007A237C" w:rsidRPr="007A237C" w:rsidRDefault="007A237C" w:rsidP="007A237C">
      <w:pPr>
        <w:numPr>
          <w:ilvl w:val="2"/>
          <w:numId w:val="1"/>
        </w:numPr>
        <w:spacing w:after="0" w:line="240" w:lineRule="auto"/>
        <w:ind w:left="1276" w:hanging="709"/>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A237C" w:rsidRPr="007A237C" w:rsidRDefault="007A237C" w:rsidP="007A237C">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7A237C">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Vienošanās saistību izbeigšanas gadījumā Pasūtītājs veic pilnu norēķinu un samaksā visus Piegādātāja pamatoti iesniegtos rēķinus par faktiski veikto piegādi līdz līgumsaistību pilnīgai izbeigšanai.</w:t>
      </w:r>
    </w:p>
    <w:p w:rsidR="007A237C" w:rsidRPr="007A237C" w:rsidRDefault="007A237C" w:rsidP="007A237C">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lang w:eastAsia="ar-SA"/>
        </w:rPr>
        <w:t>Izbeidzot Vienošanos, vienlaicīgi tiek izbeigti uz Vienošanās pamata noslēgtie piegādes līgumi.</w:t>
      </w:r>
    </w:p>
    <w:p w:rsidR="007A237C" w:rsidRPr="007A237C" w:rsidRDefault="007A237C" w:rsidP="007A237C">
      <w:pPr>
        <w:spacing w:after="0" w:line="240" w:lineRule="auto"/>
        <w:ind w:right="49"/>
        <w:jc w:val="both"/>
        <w:rPr>
          <w:rFonts w:ascii="Times New Roman" w:eastAsia="Times New Roman" w:hAnsi="Times New Roman" w:cs="Times New Roman"/>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bookmarkStart w:id="4" w:name="_Hlk496185708"/>
      <w:r w:rsidRPr="007A237C">
        <w:rPr>
          <w:rFonts w:ascii="Times New Roman" w:eastAsia="Calibri" w:hAnsi="Times New Roman" w:cs="Times New Roman"/>
          <w:b/>
          <w:bCs/>
          <w:sz w:val="24"/>
          <w:szCs w:val="24"/>
        </w:rPr>
        <w:t>Piegādes līgumu noslēgšana un izpildes kārtība</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 xml:space="preserve">Piegādes līgumu Pasūtītājs slēdz ar Piegādātājiem, saskaņā ar Vienošanās </w:t>
      </w:r>
      <w:r w:rsidR="00B4597D">
        <w:rPr>
          <w:rFonts w:ascii="Times New Roman" w:eastAsia="Times New Roman" w:hAnsi="Times New Roman" w:cs="Times New Roman"/>
          <w:sz w:val="24"/>
          <w:szCs w:val="24"/>
          <w:lang w:eastAsia="lv-LV"/>
        </w:rPr>
        <w:t>1</w:t>
      </w:r>
      <w:r w:rsidRPr="007A237C">
        <w:rPr>
          <w:rFonts w:ascii="Times New Roman" w:eastAsia="Times New Roman" w:hAnsi="Times New Roman" w:cs="Times New Roman"/>
          <w:sz w:val="24"/>
          <w:szCs w:val="24"/>
          <w:lang w:eastAsia="lv-LV"/>
        </w:rPr>
        <w:t>.pielikumu un tajā norādītājām cenām.</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lastRenderedPageBreak/>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w:t>
      </w:r>
      <w:r w:rsidR="009C6118">
        <w:rPr>
          <w:rFonts w:ascii="Times New Roman" w:eastAsia="Times New Roman" w:hAnsi="Times New Roman" w:cs="Times New Roman"/>
          <w:sz w:val="24"/>
          <w:szCs w:val="24"/>
          <w:lang w:eastAsia="lv-LV"/>
        </w:rPr>
        <w:t>7.5</w:t>
      </w:r>
      <w:r w:rsidRPr="007A237C">
        <w:rPr>
          <w:rFonts w:ascii="Times New Roman" w:eastAsia="Times New Roman" w:hAnsi="Times New Roman" w:cs="Times New Roman"/>
          <w:sz w:val="24"/>
          <w:szCs w:val="24"/>
          <w:lang w:eastAsia="lv-LV"/>
        </w:rPr>
        <w:t xml:space="preserve">.punktu. </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Gadījumā, ja Piegādātājam ir savlaicīgi pieejama informācija par Preci, kuru nebūs iespējams piegādāt, Piegādātājam ir pienākums sniegt šādu informāciju Pasūtītājam, norādot Preci, kuru nav iespējams piegādāt un laika posmu kurā piegāde nav iespējama.</w:t>
      </w:r>
    </w:p>
    <w:p w:rsidR="007A237C" w:rsidRPr="007A237C" w:rsidRDefault="007A237C" w:rsidP="007A237C">
      <w:pPr>
        <w:spacing w:after="0" w:line="240" w:lineRule="auto"/>
        <w:ind w:left="561" w:right="51"/>
        <w:jc w:val="both"/>
        <w:rPr>
          <w:rFonts w:ascii="Calibri" w:eastAsia="Calibri" w:hAnsi="Calibri" w:cs="Times New Roman"/>
          <w:b/>
          <w:bCs/>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Pušu saistības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Calibri" w:hAnsi="Times New Roman" w:cs="Times New Roman"/>
          <w:sz w:val="24"/>
          <w:szCs w:val="24"/>
        </w:rPr>
        <w:t>Piegādātājs apņemas veikt Preču piegādi Pasūtītājam saskaņā ar Vienošanās un Līguma noteikumiem.</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 xml:space="preserve">Ja Piegādātājs objektīvu iemeslu dēļ nevar piegādāt Preci, Piegādātājs par to informē Pasūtītāju Līguma </w:t>
      </w:r>
      <w:r w:rsidR="009B116D">
        <w:rPr>
          <w:rFonts w:ascii="Times New Roman" w:eastAsia="Times New Roman" w:hAnsi="Times New Roman" w:cs="Times New Roman"/>
          <w:sz w:val="24"/>
          <w:szCs w:val="24"/>
        </w:rPr>
        <w:t>3.1.2.</w:t>
      </w:r>
      <w:r w:rsidRPr="007A237C">
        <w:rPr>
          <w:rFonts w:ascii="Times New Roman" w:eastAsia="Times New Roman" w:hAnsi="Times New Roman" w:cs="Times New Roman"/>
          <w:sz w:val="24"/>
          <w:szCs w:val="24"/>
        </w:rPr>
        <w:t>punktā noteiktajā kārtībā.</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Puses Vienošanās darbības laikā ievēro visu Vienošanās un Līgumā noteikto kārtību.</w:t>
      </w:r>
    </w:p>
    <w:bookmarkEnd w:id="4"/>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Vienošanās grozījumi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61.pantā noteikto.</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7A237C">
        <w:rPr>
          <w:rFonts w:ascii="Times New Roman" w:eastAsia="Times New Roman" w:hAnsi="Times New Roman" w:cs="Times New Roman"/>
          <w:sz w:val="24"/>
          <w:szCs w:val="24"/>
          <w:lang w:eastAsia="lv-LV"/>
        </w:rPr>
        <w:t>Visi Vienošanās grozījumi noformējami rakstiski divos identiskos eksemplāros un ir Vienošanās neatņemama sastāvdaļa. Viens Vienošanās eksemplārs glabājas pie Piegādātāja, bet otrs pie Pasūtītāja.</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7A237C">
        <w:rPr>
          <w:rFonts w:ascii="Times New Roman" w:eastAsia="Times New Roman" w:hAnsi="Times New Roman" w:cs="Times New Roman"/>
          <w:sz w:val="24"/>
          <w:szCs w:val="24"/>
          <w:lang w:eastAsia="lv-LV"/>
        </w:rPr>
        <w:t>Vienošanās grozījumi stājas spēkā ar dienu, kad tie ir abpusēji parakstīti.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rPr>
        <w:t>Jebkuri Pušu veiktie grozījumi tiek noformēti rakstveidā un kļūst par Vienošanās neatņemamu sastāvdaļu.</w:t>
      </w:r>
    </w:p>
    <w:p w:rsidR="007A237C" w:rsidRPr="007A237C" w:rsidRDefault="007A237C" w:rsidP="007A237C">
      <w:pPr>
        <w:spacing w:after="0" w:line="240" w:lineRule="auto"/>
        <w:ind w:left="142"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Calibri" w:eastAsia="Calibri" w:hAnsi="Calibri" w:cs="Times New Roman"/>
          <w:b/>
          <w:bCs/>
        </w:rPr>
      </w:pPr>
      <w:r w:rsidRPr="007A237C">
        <w:rPr>
          <w:rFonts w:ascii="Times New Roman" w:eastAsia="Calibri" w:hAnsi="Times New Roman" w:cs="Times New Roman"/>
          <w:b/>
          <w:bCs/>
          <w:sz w:val="24"/>
          <w:szCs w:val="24"/>
        </w:rPr>
        <w:t>Nepārvarama vara</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7A237C">
        <w:rPr>
          <w:rFonts w:ascii="Times New Roman" w:eastAsia="Times New Roman" w:hAnsi="Times New Roman" w:cs="Times New Roman"/>
          <w:sz w:val="24"/>
          <w:szCs w:val="24"/>
        </w:rPr>
        <w:lastRenderedPageBreak/>
        <w:t>kompetentas iestādes un kura satur nepārvaramas varas apstākļu apstiprinājumu un raksturojumu.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iCs/>
          <w:sz w:val="24"/>
          <w:szCs w:val="24"/>
        </w:rPr>
        <w:t xml:space="preserve">Ar rakstisku vienošanos </w:t>
      </w:r>
      <w:r w:rsidRPr="007A237C">
        <w:rPr>
          <w:rFonts w:ascii="Times New Roman" w:eastAsia="Times New Roman" w:hAnsi="Times New Roman" w:cs="Times New Roman"/>
          <w:bCs/>
          <w:iCs/>
          <w:sz w:val="24"/>
          <w:szCs w:val="24"/>
        </w:rPr>
        <w:t>Puses</w:t>
      </w:r>
      <w:r w:rsidRPr="007A237C">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7A237C">
        <w:rPr>
          <w:rFonts w:ascii="Times New Roman" w:eastAsia="Times New Roman" w:hAnsi="Times New Roman" w:cs="Times New Roman"/>
          <w:bCs/>
          <w:iCs/>
          <w:sz w:val="24"/>
          <w:szCs w:val="24"/>
        </w:rPr>
        <w:t>Puses</w:t>
      </w:r>
      <w:r w:rsidRPr="007A237C">
        <w:rPr>
          <w:rFonts w:ascii="Times New Roman" w:eastAsia="Times New Roman" w:hAnsi="Times New Roman" w:cs="Times New Roman"/>
          <w:b/>
          <w:bCs/>
          <w:iCs/>
          <w:sz w:val="24"/>
          <w:szCs w:val="24"/>
        </w:rPr>
        <w:t xml:space="preserve"> </w:t>
      </w:r>
      <w:r w:rsidRPr="007A237C">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7A237C">
        <w:rPr>
          <w:rFonts w:ascii="Times New Roman" w:eastAsia="Times New Roman" w:hAnsi="Times New Roman" w:cs="Times New Roman"/>
          <w:bCs/>
          <w:iCs/>
          <w:sz w:val="24"/>
          <w:szCs w:val="24"/>
        </w:rPr>
        <w:t>Pusei</w:t>
      </w:r>
      <w:r w:rsidRPr="007A237C">
        <w:rPr>
          <w:rFonts w:ascii="Times New Roman" w:eastAsia="Times New Roman" w:hAnsi="Times New Roman" w:cs="Times New Roman"/>
          <w:b/>
          <w:bCs/>
          <w:iCs/>
          <w:sz w:val="24"/>
          <w:szCs w:val="24"/>
        </w:rPr>
        <w:t xml:space="preserve"> </w:t>
      </w:r>
      <w:r w:rsidRPr="007A237C">
        <w:rPr>
          <w:rFonts w:ascii="Times New Roman" w:eastAsia="Times New Roman" w:hAnsi="Times New Roman" w:cs="Times New Roman"/>
          <w:iCs/>
          <w:sz w:val="24"/>
          <w:szCs w:val="24"/>
        </w:rPr>
        <w:t>ir jāatdod otrai tas, ko tā izpildījusi vai par izpildīto jāatlīdzina.</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w:t>
      </w:r>
      <w:r w:rsidR="004F1930">
        <w:rPr>
          <w:rFonts w:ascii="Times New Roman" w:eastAsia="Times New Roman" w:hAnsi="Times New Roman" w:cs="Times New Roman"/>
          <w:sz w:val="24"/>
          <w:szCs w:val="24"/>
        </w:rPr>
        <w:t xml:space="preserve">Vienošanās </w:t>
      </w:r>
      <w:r w:rsidRPr="007A237C">
        <w:rPr>
          <w:rFonts w:ascii="Times New Roman" w:eastAsia="Times New Roman" w:hAnsi="Times New Roman" w:cs="Times New Roman"/>
          <w:sz w:val="24"/>
          <w:szCs w:val="24"/>
        </w:rPr>
        <w:t>7.3.punktam.</w:t>
      </w:r>
    </w:p>
    <w:p w:rsidR="007A237C" w:rsidRPr="007A237C" w:rsidRDefault="007A237C" w:rsidP="007A237C">
      <w:pPr>
        <w:spacing w:after="0" w:line="240" w:lineRule="auto"/>
        <w:ind w:right="49"/>
        <w:jc w:val="both"/>
        <w:rPr>
          <w:rFonts w:ascii="Times New Roman" w:eastAsia="Times New Roman" w:hAnsi="Times New Roman" w:cs="Times New Roman"/>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Strīdu izskatīšanas kārtība</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30 (trīsdesmit) kalendāro dienu laikā, tad strīdus risina tiesā Latvijas Republikas normatīvajos aktos noteiktajā kārtībā.</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Calibri" w:eastAsia="Calibri" w:hAnsi="Calibri" w:cs="Times New Roman"/>
          <w:b/>
          <w:bCs/>
        </w:rPr>
      </w:pPr>
      <w:r w:rsidRPr="007A237C">
        <w:rPr>
          <w:rFonts w:ascii="Times New Roman" w:eastAsia="Calibri" w:hAnsi="Times New Roman" w:cs="Times New Roman"/>
          <w:b/>
          <w:bCs/>
          <w:sz w:val="24"/>
          <w:szCs w:val="24"/>
        </w:rPr>
        <w:t>Citi noteikumi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Puses ir tiesīgas veikt Vienošanās grozījumus, ja Piegādātāju aizstāj ar citu, atbilstoši komerctiesību jomas normatīvo aktu noteikumiem par komersantu reorganizāciju un uzņēmuma pāreju.</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 xml:space="preserve">Ja Vienošanās darbības laikā ražotājs ir veicis noteiktas izmaiņas un Piegādātājs nespēj vairs piegādāt Līguma </w:t>
      </w:r>
      <w:r w:rsidR="002819F9">
        <w:rPr>
          <w:rFonts w:ascii="Times New Roman" w:eastAsia="Times New Roman" w:hAnsi="Times New Roman" w:cs="Times New Roman"/>
          <w:sz w:val="24"/>
          <w:szCs w:val="24"/>
        </w:rPr>
        <w:t>2</w:t>
      </w:r>
      <w:r w:rsidRPr="007A237C">
        <w:rPr>
          <w:rFonts w:ascii="Times New Roman" w:eastAsia="Times New Roman" w:hAnsi="Times New Roman" w:cs="Times New Roman"/>
          <w:sz w:val="24"/>
          <w:szCs w:val="24"/>
        </w:rPr>
        <w:t xml:space="preserve">.pielikumā noteikto Preci, bet Piegādātājs var nodrošināt </w:t>
      </w:r>
      <w:r w:rsidR="002819F9">
        <w:rPr>
          <w:rFonts w:ascii="Times New Roman" w:eastAsia="Times New Roman" w:hAnsi="Times New Roman" w:cs="Times New Roman"/>
          <w:sz w:val="24"/>
          <w:szCs w:val="24"/>
        </w:rPr>
        <w:t>2</w:t>
      </w:r>
      <w:r w:rsidRPr="007A237C">
        <w:rPr>
          <w:rFonts w:ascii="Times New Roman" w:eastAsia="Times New Roman" w:hAnsi="Times New Roman" w:cs="Times New Roman"/>
          <w:sz w:val="24"/>
          <w:szCs w:val="24"/>
        </w:rPr>
        <w:t xml:space="preserve">.pielikumam atbilstošas ekvivalentas Preces piegādi par </w:t>
      </w:r>
      <w:r w:rsidR="002819F9">
        <w:rPr>
          <w:rFonts w:ascii="Times New Roman" w:eastAsia="Times New Roman" w:hAnsi="Times New Roman" w:cs="Times New Roman"/>
          <w:sz w:val="24"/>
          <w:szCs w:val="24"/>
        </w:rPr>
        <w:t>2</w:t>
      </w:r>
      <w:r w:rsidRPr="007A237C">
        <w:rPr>
          <w:rFonts w:ascii="Times New Roman" w:eastAsia="Times New Roman"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lastRenderedPageBreak/>
        <w:t>Puses nav tiesīgas nodot savas tiesības un saistības, kas saistītas ar Vienošanos un izriet no tā, trešajai personai.</w:t>
      </w:r>
    </w:p>
    <w:p w:rsidR="007A237C" w:rsidRPr="007A237C" w:rsidRDefault="007A237C" w:rsidP="007A237C">
      <w:pPr>
        <w:numPr>
          <w:ilvl w:val="1"/>
          <w:numId w:val="1"/>
        </w:numPr>
        <w:spacing w:after="0" w:line="240" w:lineRule="auto"/>
        <w:ind w:right="49" w:hanging="562"/>
        <w:jc w:val="both"/>
        <w:rPr>
          <w:rFonts w:ascii="Times New Roman" w:eastAsia="Calibri" w:hAnsi="Times New Roman" w:cs="Times New Roman"/>
          <w:bCs/>
          <w:sz w:val="24"/>
          <w:szCs w:val="24"/>
        </w:rPr>
      </w:pPr>
      <w:r w:rsidRPr="007A237C">
        <w:rPr>
          <w:rFonts w:ascii="Times New Roman" w:eastAsia="Calibri" w:hAnsi="Times New Roman" w:cs="Times New Roman"/>
          <w:sz w:val="24"/>
          <w:szCs w:val="24"/>
        </w:rPr>
        <w:t>Gadījumos, kas nav paredzēti Vienošanās un Līgumā, Puses rīkojas saskaņā ar spēkā esošajiem normatīvajiem aktiem.</w:t>
      </w:r>
    </w:p>
    <w:p w:rsidR="007A237C" w:rsidRPr="007A237C" w:rsidRDefault="007A237C" w:rsidP="007A237C">
      <w:pPr>
        <w:numPr>
          <w:ilvl w:val="1"/>
          <w:numId w:val="1"/>
        </w:numPr>
        <w:spacing w:after="0" w:line="240" w:lineRule="auto"/>
        <w:ind w:right="49" w:hanging="562"/>
        <w:jc w:val="both"/>
        <w:rPr>
          <w:rFonts w:ascii="Times New Roman" w:eastAsia="Calibri" w:hAnsi="Times New Roman" w:cs="Times New Roman"/>
          <w:bCs/>
          <w:sz w:val="24"/>
          <w:szCs w:val="24"/>
        </w:rPr>
      </w:pPr>
      <w:r w:rsidRPr="007A237C">
        <w:rPr>
          <w:rFonts w:ascii="Times New Roman" w:eastAsia="Times New Roman" w:hAnsi="Times New Roman" w:cs="Times New Roman"/>
          <w:sz w:val="24"/>
          <w:szCs w:val="24"/>
        </w:rPr>
        <w:t xml:space="preserve">Vienošanās sagatavota latviešu valodā, uz </w:t>
      </w:r>
      <w:r w:rsidR="008536DD">
        <w:rPr>
          <w:rFonts w:ascii="Times New Roman" w:eastAsia="Times New Roman" w:hAnsi="Times New Roman" w:cs="Times New Roman"/>
          <w:sz w:val="24"/>
          <w:szCs w:val="24"/>
        </w:rPr>
        <w:t>5</w:t>
      </w:r>
      <w:r w:rsidRPr="007A237C">
        <w:rPr>
          <w:rFonts w:ascii="Times New Roman" w:eastAsia="Times New Roman" w:hAnsi="Times New Roman" w:cs="Times New Roman"/>
          <w:sz w:val="24"/>
          <w:szCs w:val="24"/>
        </w:rPr>
        <w:t xml:space="preserve"> (</w:t>
      </w:r>
      <w:r w:rsidR="008536DD">
        <w:rPr>
          <w:rFonts w:ascii="Times New Roman" w:eastAsia="Times New Roman" w:hAnsi="Times New Roman" w:cs="Times New Roman"/>
          <w:sz w:val="24"/>
          <w:szCs w:val="24"/>
        </w:rPr>
        <w:t>piecām</w:t>
      </w:r>
      <w:r w:rsidRPr="007A237C">
        <w:rPr>
          <w:rFonts w:ascii="Times New Roman" w:eastAsia="Times New Roman" w:hAnsi="Times New Roman" w:cs="Times New Roman"/>
          <w:sz w:val="24"/>
          <w:szCs w:val="24"/>
        </w:rPr>
        <w:t xml:space="preserve">) lapām, visi eksemplāri ir ar vienādu juridisko spēku. Viens no </w:t>
      </w:r>
      <w:r w:rsidR="00AA4BBF">
        <w:rPr>
          <w:rFonts w:ascii="Times New Roman" w:eastAsia="Times New Roman" w:hAnsi="Times New Roman" w:cs="Times New Roman"/>
          <w:sz w:val="24"/>
          <w:szCs w:val="24"/>
        </w:rPr>
        <w:t>Vienošanās</w:t>
      </w:r>
      <w:r w:rsidRPr="007A237C">
        <w:rPr>
          <w:rFonts w:ascii="Times New Roman" w:eastAsia="Times New Roman" w:hAnsi="Times New Roman" w:cs="Times New Roman"/>
          <w:sz w:val="24"/>
          <w:szCs w:val="24"/>
        </w:rPr>
        <w:t xml:space="preserve"> eksemplāriem atrodas pie Pasūtītāja, bet otrs – pie Piegādātājiem.</w:t>
      </w:r>
    </w:p>
    <w:p w:rsidR="007A237C" w:rsidRPr="007A237C" w:rsidRDefault="007A237C" w:rsidP="007A237C">
      <w:pPr>
        <w:numPr>
          <w:ilvl w:val="1"/>
          <w:numId w:val="1"/>
        </w:numPr>
        <w:spacing w:after="0" w:line="240" w:lineRule="auto"/>
        <w:ind w:hanging="562"/>
        <w:contextualSpacing/>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Vienošanai tā noslēgšanas brīdī tiek pievienoti šādi pielikumi, kas ir neatņemamas tā sastāvdaļas: noslēgtie piegādes līgumi.</w:t>
      </w:r>
    </w:p>
    <w:p w:rsidR="007A237C" w:rsidRPr="007A237C" w:rsidRDefault="007A237C" w:rsidP="007A237C">
      <w:pPr>
        <w:spacing w:after="0" w:line="240" w:lineRule="auto"/>
        <w:ind w:right="-766"/>
        <w:jc w:val="both"/>
        <w:rPr>
          <w:rFonts w:ascii="Times New Roman" w:eastAsia="Times New Roman" w:hAnsi="Times New Roman" w:cs="Times New Roman"/>
          <w:bCs/>
          <w:sz w:val="24"/>
          <w:szCs w:val="24"/>
        </w:rPr>
      </w:pPr>
    </w:p>
    <w:p w:rsidR="007A237C" w:rsidRPr="007A237C" w:rsidRDefault="007A237C" w:rsidP="007A237C">
      <w:pPr>
        <w:numPr>
          <w:ilvl w:val="0"/>
          <w:numId w:val="1"/>
        </w:numPr>
        <w:spacing w:after="200" w:line="276" w:lineRule="auto"/>
        <w:ind w:right="-766"/>
        <w:jc w:val="center"/>
        <w:rPr>
          <w:rFonts w:ascii="Times New Roman" w:eastAsia="Times New Roman" w:hAnsi="Times New Roman" w:cs="Times New Roman"/>
          <w:b/>
          <w:bCs/>
          <w:sz w:val="24"/>
          <w:szCs w:val="24"/>
        </w:rPr>
      </w:pPr>
      <w:r w:rsidRPr="007A237C">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7168A5" w:rsidRPr="00345238" w:rsidTr="00932B4C">
        <w:trPr>
          <w:trHeight w:val="104"/>
        </w:trPr>
        <w:tc>
          <w:tcPr>
            <w:tcW w:w="4463" w:type="dxa"/>
          </w:tcPr>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u w:val="single"/>
              </w:rPr>
            </w:pPr>
            <w:bookmarkStart w:id="5" w:name="_Hlk11830394"/>
            <w:r w:rsidRPr="00C122DB">
              <w:rPr>
                <w:rFonts w:ascii="Times New Roman" w:eastAsia="Times New Roman" w:hAnsi="Times New Roman" w:cs="Times New Roman"/>
                <w:b/>
                <w:bCs/>
                <w:sz w:val="24"/>
                <w:szCs w:val="24"/>
                <w:u w:val="single"/>
              </w:rPr>
              <w:t>Pasūtītājs:</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p>
          <w:p w:rsidR="007168A5" w:rsidRPr="00E647BE"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7168A5" w:rsidRPr="00BB5756" w:rsidRDefault="007168A5" w:rsidP="00932B4C">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2357F5">
              <w:rPr>
                <w:rFonts w:ascii="Times New Roman" w:eastAsia="Times New Roman" w:hAnsi="Times New Roman" w:cs="Times New Roman"/>
                <w:b/>
                <w:bCs/>
                <w:sz w:val="24"/>
                <w:szCs w:val="24"/>
                <w:lang w:val="lt-LT"/>
              </w:rPr>
              <w:t>BioAvots</w:t>
            </w:r>
            <w:r w:rsidRPr="00BB5756">
              <w:rPr>
                <w:rFonts w:ascii="Times New Roman" w:eastAsia="Times New Roman" w:hAnsi="Times New Roman" w:cs="Times New Roman"/>
                <w:b/>
                <w:bCs/>
                <w:sz w:val="24"/>
                <w:szCs w:val="24"/>
                <w:lang w:val="lt-LT"/>
              </w:rPr>
              <w:t>“</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2357F5">
              <w:rPr>
                <w:rFonts w:ascii="Times New Roman" w:eastAsia="Times New Roman" w:hAnsi="Times New Roman" w:cs="Times New Roman"/>
                <w:bCs/>
                <w:sz w:val="24"/>
                <w:szCs w:val="24"/>
                <w:lang w:val="lt-LT"/>
              </w:rPr>
              <w:t>40103326392</w:t>
            </w:r>
          </w:p>
          <w:p w:rsidR="007168A5" w:rsidRDefault="002C6B68"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Augusta Deglava iela 66, Rīga, LV - 1035</w:t>
            </w:r>
          </w:p>
          <w:p w:rsidR="007168A5" w:rsidRPr="002819F9" w:rsidRDefault="007168A5" w:rsidP="00932B4C">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2C6B68">
              <w:rPr>
                <w:rFonts w:ascii="Times New Roman" w:eastAsia="Times New Roman" w:hAnsi="Times New Roman" w:cs="Times New Roman"/>
                <w:bCs/>
                <w:sz w:val="24"/>
                <w:szCs w:val="24"/>
                <w:lang w:val="lt-LT"/>
              </w:rPr>
              <w:t>AS SEB Banka</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2C6B68">
              <w:rPr>
                <w:rFonts w:ascii="Times New Roman" w:eastAsia="Times New Roman" w:hAnsi="Times New Roman" w:cs="Times New Roman"/>
                <w:bCs/>
                <w:sz w:val="24"/>
                <w:szCs w:val="24"/>
                <w:lang w:val="lt-LT"/>
              </w:rPr>
              <w:t>UNLALV2X</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w:t>
            </w:r>
            <w:r w:rsidR="002819F9">
              <w:rPr>
                <w:rFonts w:ascii="Times New Roman" w:eastAsia="Times New Roman" w:hAnsi="Times New Roman" w:cs="Times New Roman"/>
                <w:bCs/>
                <w:sz w:val="24"/>
                <w:szCs w:val="24"/>
                <w:lang w:val="lt-LT"/>
              </w:rPr>
              <w:t xml:space="preserve"> LV</w:t>
            </w:r>
            <w:r w:rsidR="002C6B68">
              <w:rPr>
                <w:rFonts w:ascii="Times New Roman" w:eastAsia="Times New Roman" w:hAnsi="Times New Roman" w:cs="Times New Roman"/>
                <w:bCs/>
                <w:sz w:val="24"/>
                <w:szCs w:val="24"/>
                <w:lang w:val="lt-LT"/>
              </w:rPr>
              <w:t>14UNLA0050020289798</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7168A5" w:rsidRPr="00345238" w:rsidRDefault="00E84EEC"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E.Gloda</w:t>
            </w:r>
          </w:p>
        </w:tc>
      </w:tr>
      <w:bookmarkEnd w:id="5"/>
    </w:tbl>
    <w:p w:rsidR="00493E93" w:rsidRDefault="00493E93"/>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sectPr w:rsidR="002819F9"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C28" w:rsidRDefault="00705C28" w:rsidP="002819F9">
      <w:pPr>
        <w:spacing w:after="0" w:line="240" w:lineRule="auto"/>
      </w:pPr>
      <w:r>
        <w:separator/>
      </w:r>
    </w:p>
  </w:endnote>
  <w:endnote w:type="continuationSeparator" w:id="0">
    <w:p w:rsidR="00705C28" w:rsidRDefault="00705C28" w:rsidP="0028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51408"/>
      <w:docPartObj>
        <w:docPartGallery w:val="Page Numbers (Bottom of Page)"/>
        <w:docPartUnique/>
      </w:docPartObj>
    </w:sdtPr>
    <w:sdtEndPr>
      <w:rPr>
        <w:noProof/>
      </w:rPr>
    </w:sdtEndPr>
    <w:sdtContent>
      <w:p w:rsidR="002819F9" w:rsidRDefault="002819F9">
        <w:pPr>
          <w:pStyle w:val="Footer"/>
          <w:jc w:val="center"/>
        </w:pPr>
        <w:r>
          <w:fldChar w:fldCharType="begin"/>
        </w:r>
        <w:r>
          <w:instrText xml:space="preserve"> PAGE   \* MERGEFORMAT </w:instrText>
        </w:r>
        <w:r>
          <w:fldChar w:fldCharType="separate"/>
        </w:r>
        <w:r w:rsidR="00E84EEC">
          <w:rPr>
            <w:noProof/>
          </w:rPr>
          <w:t>4</w:t>
        </w:r>
        <w:r>
          <w:rPr>
            <w:noProof/>
          </w:rPr>
          <w:fldChar w:fldCharType="end"/>
        </w:r>
      </w:p>
    </w:sdtContent>
  </w:sdt>
  <w:p w:rsidR="002819F9" w:rsidRDefault="0028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C28" w:rsidRDefault="00705C28" w:rsidP="002819F9">
      <w:pPr>
        <w:spacing w:after="0" w:line="240" w:lineRule="auto"/>
      </w:pPr>
      <w:r>
        <w:separator/>
      </w:r>
    </w:p>
  </w:footnote>
  <w:footnote w:type="continuationSeparator" w:id="0">
    <w:p w:rsidR="00705C28" w:rsidRDefault="00705C28" w:rsidP="00281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9"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6"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7"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1"/>
  </w:num>
  <w:num w:numId="6">
    <w:abstractNumId w:val="16"/>
  </w:num>
  <w:num w:numId="7">
    <w:abstractNumId w:val="19"/>
  </w:num>
  <w:num w:numId="8">
    <w:abstractNumId w:val="22"/>
  </w:num>
  <w:num w:numId="9">
    <w:abstractNumId w:val="6"/>
  </w:num>
  <w:num w:numId="1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13"/>
  </w:num>
  <w:num w:numId="16">
    <w:abstractNumId w:val="14"/>
  </w:num>
  <w:num w:numId="17">
    <w:abstractNumId w:val="21"/>
  </w:num>
  <w:num w:numId="18">
    <w:abstractNumId w:val="1"/>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9"/>
  </w:num>
  <w:num w:numId="23">
    <w:abstractNumId w:val="8"/>
  </w:num>
  <w:num w:numId="24">
    <w:abstractNumId w:val="26"/>
  </w:num>
  <w:num w:numId="25">
    <w:abstractNumId w:val="2"/>
  </w:num>
  <w:num w:numId="26">
    <w:abstractNumId w:val="28"/>
  </w:num>
  <w:num w:numId="27">
    <w:abstractNumId w:val="20"/>
  </w:num>
  <w:num w:numId="28">
    <w:abstractNumId w:val="25"/>
  </w:num>
  <w:num w:numId="29">
    <w:abstractNumId w:val="9"/>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7C"/>
    <w:rsid w:val="001625EE"/>
    <w:rsid w:val="00173DA4"/>
    <w:rsid w:val="002357F5"/>
    <w:rsid w:val="002819F9"/>
    <w:rsid w:val="00281E87"/>
    <w:rsid w:val="002C6B68"/>
    <w:rsid w:val="00493E93"/>
    <w:rsid w:val="004C4436"/>
    <w:rsid w:val="004D3044"/>
    <w:rsid w:val="004F1930"/>
    <w:rsid w:val="00705C28"/>
    <w:rsid w:val="007168A5"/>
    <w:rsid w:val="00775138"/>
    <w:rsid w:val="007A237C"/>
    <w:rsid w:val="008536DD"/>
    <w:rsid w:val="008C71B6"/>
    <w:rsid w:val="009B116D"/>
    <w:rsid w:val="009C6118"/>
    <w:rsid w:val="009F6824"/>
    <w:rsid w:val="00A17089"/>
    <w:rsid w:val="00A34D6F"/>
    <w:rsid w:val="00AA4BBF"/>
    <w:rsid w:val="00B4597D"/>
    <w:rsid w:val="00BB6F32"/>
    <w:rsid w:val="00DF754A"/>
    <w:rsid w:val="00E84EEC"/>
    <w:rsid w:val="00FD7E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1AAD"/>
  <w15:chartTrackingRefBased/>
  <w15:docId w15:val="{DA56D7BF-4ABC-409B-8F6F-ED860273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FD7EF8"/>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FD7EF8"/>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FD7EF8"/>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FD7EF8"/>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FD7EF8"/>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FD7EF8"/>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FD7EF8"/>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FD7EF8"/>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FD7EF8"/>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19F9"/>
  </w:style>
  <w:style w:type="paragraph" w:styleId="Footer">
    <w:name w:val="footer"/>
    <w:basedOn w:val="Normal"/>
    <w:link w:val="FooterChar"/>
    <w:uiPriority w:val="99"/>
    <w:unhideWhenUsed/>
    <w:rsid w:val="00281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19F9"/>
  </w:style>
  <w:style w:type="character" w:customStyle="1" w:styleId="Heading1Char">
    <w:name w:val="Heading 1 Char"/>
    <w:aliases w:val="H1 Char"/>
    <w:basedOn w:val="DefaultParagraphFont"/>
    <w:link w:val="Heading1"/>
    <w:rsid w:val="00FD7EF8"/>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FD7EF8"/>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FD7EF8"/>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FD7EF8"/>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FD7EF8"/>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FD7EF8"/>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FD7EF8"/>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FD7EF8"/>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FD7EF8"/>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FD7EF8"/>
  </w:style>
  <w:style w:type="numbering" w:customStyle="1" w:styleId="NoList11">
    <w:name w:val="No List11"/>
    <w:next w:val="NoList"/>
    <w:uiPriority w:val="99"/>
    <w:semiHidden/>
    <w:unhideWhenUsed/>
    <w:rsid w:val="00FD7EF8"/>
  </w:style>
  <w:style w:type="numbering" w:customStyle="1" w:styleId="NoList111">
    <w:name w:val="No List111"/>
    <w:next w:val="NoList"/>
    <w:uiPriority w:val="99"/>
    <w:semiHidden/>
    <w:unhideWhenUsed/>
    <w:rsid w:val="00FD7EF8"/>
  </w:style>
  <w:style w:type="numbering" w:customStyle="1" w:styleId="NoList1111">
    <w:name w:val="No List1111"/>
    <w:next w:val="NoList"/>
    <w:uiPriority w:val="99"/>
    <w:semiHidden/>
    <w:unhideWhenUsed/>
    <w:rsid w:val="00FD7EF8"/>
  </w:style>
  <w:style w:type="character" w:styleId="Hyperlink">
    <w:name w:val="Hyperlink"/>
    <w:uiPriority w:val="99"/>
    <w:rsid w:val="00FD7EF8"/>
    <w:rPr>
      <w:rFonts w:cs="Times New Roman"/>
      <w:color w:val="0000FF"/>
      <w:u w:val="single"/>
    </w:rPr>
  </w:style>
  <w:style w:type="paragraph" w:styleId="BodyText">
    <w:name w:val="Body Text"/>
    <w:basedOn w:val="Normal"/>
    <w:link w:val="BodyTextChar1"/>
    <w:rsid w:val="00FD7EF8"/>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FD7EF8"/>
  </w:style>
  <w:style w:type="character" w:customStyle="1" w:styleId="BodyTextChar1">
    <w:name w:val="Body Text Char1"/>
    <w:link w:val="BodyText"/>
    <w:rsid w:val="00FD7EF8"/>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FD7EF8"/>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FD7EF8"/>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FD7EF8"/>
    <w:rPr>
      <w:sz w:val="24"/>
      <w:lang w:val="x-none" w:eastAsia="x-none"/>
    </w:rPr>
  </w:style>
  <w:style w:type="paragraph" w:customStyle="1" w:styleId="11Iveta">
    <w:name w:val="1.1. Iveta"/>
    <w:basedOn w:val="ListParagraph"/>
    <w:link w:val="11IvetaChar"/>
    <w:qFormat/>
    <w:rsid w:val="00FD7EF8"/>
    <w:pPr>
      <w:numPr>
        <w:numId w:val="2"/>
      </w:numPr>
      <w:tabs>
        <w:tab w:val="num" w:pos="720"/>
      </w:tabs>
      <w:ind w:left="720"/>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FD7EF8"/>
    <w:pPr>
      <w:spacing w:after="567" w:line="360" w:lineRule="auto"/>
      <w:jc w:val="center"/>
    </w:pPr>
    <w:rPr>
      <w:rFonts w:ascii="Verdana" w:eastAsia="Times New Roman" w:hAnsi="Verdana" w:cs="Times New Roman"/>
      <w:b/>
      <w:bCs/>
      <w:sz w:val="28"/>
      <w:szCs w:val="28"/>
      <w:lang w:eastAsia="lv-LV"/>
    </w:rPr>
  </w:style>
  <w:style w:type="paragraph" w:styleId="NoSpacing">
    <w:name w:val="No Spacing"/>
    <w:uiPriority w:val="1"/>
    <w:qFormat/>
    <w:rsid w:val="00FD7EF8"/>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FD7EF8"/>
    <w:rPr>
      <w:sz w:val="16"/>
      <w:szCs w:val="16"/>
    </w:rPr>
  </w:style>
  <w:style w:type="paragraph" w:styleId="CommentText">
    <w:name w:val="annotation text"/>
    <w:basedOn w:val="Normal"/>
    <w:link w:val="CommentTextChar"/>
    <w:uiPriority w:val="99"/>
    <w:unhideWhenUsed/>
    <w:rsid w:val="00FD7EF8"/>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D7EF8"/>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FD7EF8"/>
    <w:rPr>
      <w:b/>
      <w:bCs/>
    </w:rPr>
  </w:style>
  <w:style w:type="character" w:customStyle="1" w:styleId="CommentSubjectChar">
    <w:name w:val="Comment Subject Char"/>
    <w:basedOn w:val="CommentTextChar"/>
    <w:link w:val="CommentSubject"/>
    <w:rsid w:val="00FD7EF8"/>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FD7EF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FD7EF8"/>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FD7EF8"/>
    <w:pPr>
      <w:spacing w:after="0" w:line="240" w:lineRule="auto"/>
      <w:jc w:val="both"/>
    </w:pPr>
  </w:style>
  <w:style w:type="character" w:styleId="Emphasis">
    <w:name w:val="Emphasis"/>
    <w:qFormat/>
    <w:rsid w:val="00FD7EF8"/>
    <w:rPr>
      <w:i/>
      <w:iCs/>
    </w:rPr>
  </w:style>
  <w:style w:type="table" w:styleId="TableGrid">
    <w:name w:val="Table Grid"/>
    <w:basedOn w:val="TableNormal"/>
    <w:uiPriority w:val="99"/>
    <w:rsid w:val="00FD7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7EF8"/>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FD7EF8"/>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FD7EF8"/>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FD7EF8"/>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FD7EF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FD7EF8"/>
    <w:rPr>
      <w:rFonts w:ascii="Times New Roman" w:eastAsia="Times New Roman" w:hAnsi="Times New Roman" w:cs="Times New Roman"/>
      <w:sz w:val="20"/>
      <w:szCs w:val="20"/>
      <w:lang w:val="x-none" w:eastAsia="x-none"/>
    </w:rPr>
  </w:style>
  <w:style w:type="character" w:styleId="FootnoteReference">
    <w:name w:val="footnote reference"/>
    <w:uiPriority w:val="99"/>
    <w:rsid w:val="00FD7EF8"/>
    <w:rPr>
      <w:vertAlign w:val="superscript"/>
    </w:rPr>
  </w:style>
  <w:style w:type="paragraph" w:customStyle="1" w:styleId="naisf">
    <w:name w:val="naisf"/>
    <w:basedOn w:val="Normal"/>
    <w:rsid w:val="00FD7EF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FD7EF8"/>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FD7EF8"/>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FD7EF8"/>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D7EF8"/>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FD7EF8"/>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FD7EF8"/>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FD7EF8"/>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FD7EF8"/>
    <w:rPr>
      <w:rFonts w:ascii="Times New Roman" w:eastAsia="Times New Roman" w:hAnsi="Times New Roman" w:cs="Times New Roman"/>
      <w:sz w:val="24"/>
      <w:szCs w:val="20"/>
      <w:lang w:val="en-US" w:eastAsia="x-none"/>
    </w:rPr>
  </w:style>
  <w:style w:type="paragraph" w:styleId="BlockText">
    <w:name w:val="Block Text"/>
    <w:basedOn w:val="Normal"/>
    <w:rsid w:val="00FD7EF8"/>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FD7EF8"/>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FD7EF8"/>
  </w:style>
  <w:style w:type="paragraph" w:customStyle="1" w:styleId="WW-BlockText1">
    <w:name w:val="WW-Block Text1"/>
    <w:basedOn w:val="Normal"/>
    <w:rsid w:val="00FD7EF8"/>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FD7EF8"/>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FD7EF8"/>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FD7EF8"/>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FD7EF8"/>
    <w:rPr>
      <w:color w:val="800080"/>
      <w:u w:val="single"/>
    </w:rPr>
  </w:style>
  <w:style w:type="character" w:styleId="Strong">
    <w:name w:val="Strong"/>
    <w:uiPriority w:val="99"/>
    <w:qFormat/>
    <w:rsid w:val="00FD7EF8"/>
    <w:rPr>
      <w:rFonts w:ascii="Times New Roman" w:hAnsi="Times New Roman" w:cs="Times New Roman" w:hint="default"/>
      <w:b/>
      <w:bCs/>
    </w:rPr>
  </w:style>
  <w:style w:type="paragraph" w:customStyle="1" w:styleId="Sarakstarindkopa1">
    <w:name w:val="Saraksta rindkopa1"/>
    <w:basedOn w:val="Normal"/>
    <w:qFormat/>
    <w:rsid w:val="00FD7EF8"/>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FD7EF8"/>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FD7EF8"/>
    <w:rPr>
      <w:rFonts w:eastAsia="Calibri"/>
      <w:lang w:eastAsia="en-US"/>
    </w:rPr>
  </w:style>
  <w:style w:type="character" w:customStyle="1" w:styleId="BalloonTextChar1">
    <w:name w:val="Balloon Text Char1"/>
    <w:rsid w:val="00FD7EF8"/>
    <w:rPr>
      <w:rFonts w:ascii="Tahoma" w:eastAsia="Calibri" w:hAnsi="Tahoma" w:cs="Tahoma"/>
      <w:sz w:val="16"/>
      <w:szCs w:val="16"/>
      <w:lang w:eastAsia="en-US"/>
    </w:rPr>
  </w:style>
  <w:style w:type="character" w:customStyle="1" w:styleId="CommentTextChar1">
    <w:name w:val="Comment Text Char1"/>
    <w:rsid w:val="00FD7EF8"/>
    <w:rPr>
      <w:rFonts w:eastAsia="Calibri"/>
      <w:lang w:eastAsia="en-US"/>
    </w:rPr>
  </w:style>
  <w:style w:type="character" w:customStyle="1" w:styleId="CommentSubjectChar1">
    <w:name w:val="Comment Subject Char1"/>
    <w:rsid w:val="00FD7EF8"/>
    <w:rPr>
      <w:rFonts w:eastAsia="Calibri"/>
      <w:b/>
      <w:bCs/>
      <w:lang w:eastAsia="en-US"/>
    </w:rPr>
  </w:style>
  <w:style w:type="paragraph" w:customStyle="1" w:styleId="tv2131">
    <w:name w:val="tv2131"/>
    <w:basedOn w:val="Normal"/>
    <w:rsid w:val="00FD7EF8"/>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FD7EF8"/>
  </w:style>
  <w:style w:type="paragraph" w:customStyle="1" w:styleId="Rindkopa">
    <w:name w:val="Rindkopa"/>
    <w:basedOn w:val="Normal"/>
    <w:next w:val="Normal"/>
    <w:rsid w:val="00FD7EF8"/>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FD7EF8"/>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FD7EF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FD7EF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FD7EF8"/>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FD7EF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FD7EF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FD7EF8"/>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FD7EF8"/>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FD7EF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FD7EF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FD7EF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FD7EF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FD7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FD7EF8"/>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FD7EF8"/>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FD7EF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FD7EF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FD7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FD7EF8"/>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FD7EF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FD7EF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FD7EF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FD7EF8"/>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FD7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FD7EF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FD7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FD7EF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FD7EF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FD7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FD7EF8"/>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FD7EF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FD7EF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FD7EF8"/>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FD7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FD7E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FD7EF8"/>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FD7EF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FD7EF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FD7EF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FD7E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FD7EF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FD7EF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FD7EF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FD7EF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FD7E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FD7E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FD7EF8"/>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FD7EF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FD7EF8"/>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FD7EF8"/>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FD7EF8"/>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FD7EF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FD7EF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FD7EF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FD7EF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FD7EF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FD7E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FD7E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FD7E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FD7E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FD7EF8"/>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FD7EF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FD7EF8"/>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FD7EF8"/>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FD7EF8"/>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FD7EF8"/>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FD7EF8"/>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FD7EF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FD7EF8"/>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FD7EF8"/>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FD7EF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FD7EF8"/>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FD7EF8"/>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FD7EF8"/>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FD7EF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FD7EF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FD7EF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FD7EF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FD7EF8"/>
  </w:style>
  <w:style w:type="numbering" w:customStyle="1" w:styleId="NoList12">
    <w:name w:val="No List12"/>
    <w:next w:val="NoList"/>
    <w:uiPriority w:val="99"/>
    <w:semiHidden/>
    <w:unhideWhenUsed/>
    <w:rsid w:val="00FD7EF8"/>
  </w:style>
  <w:style w:type="numbering" w:customStyle="1" w:styleId="NoList112">
    <w:name w:val="No List112"/>
    <w:next w:val="NoList"/>
    <w:uiPriority w:val="99"/>
    <w:semiHidden/>
    <w:unhideWhenUsed/>
    <w:rsid w:val="00FD7EF8"/>
  </w:style>
  <w:style w:type="table" w:customStyle="1" w:styleId="TableGrid1">
    <w:name w:val="Table Grid1"/>
    <w:basedOn w:val="TableNormal"/>
    <w:next w:val="TableGrid"/>
    <w:uiPriority w:val="99"/>
    <w:rsid w:val="00FD7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D7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7EF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FD7EF8"/>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FD7EF8"/>
    <w:rPr>
      <w:color w:val="2B579A"/>
      <w:shd w:val="clear" w:color="auto" w:fill="E6E6E6"/>
    </w:rPr>
  </w:style>
  <w:style w:type="table" w:customStyle="1" w:styleId="TableGrid4">
    <w:name w:val="Table Grid4"/>
    <w:basedOn w:val="TableNormal"/>
    <w:next w:val="TableGrid"/>
    <w:uiPriority w:val="59"/>
    <w:unhideWhenUsed/>
    <w:rsid w:val="00FD7E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FD7E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D7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9331</Words>
  <Characters>5319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2019-06-26T06:55:00Z</dcterms:created>
  <dcterms:modified xsi:type="dcterms:W3CDTF">2019-07-22T11:24:00Z</dcterms:modified>
</cp:coreProperties>
</file>