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C648A" w14:textId="77777777" w:rsidR="00D71CD3" w:rsidRDefault="00D71CD3">
      <w:pPr>
        <w:jc w:val="center"/>
        <w:rPr>
          <w:b/>
        </w:rPr>
      </w:pPr>
    </w:p>
    <w:p w14:paraId="0F59D54E" w14:textId="01729626" w:rsidR="00D71CD3" w:rsidRDefault="001815F6">
      <w:pPr>
        <w:jc w:val="center"/>
        <w:rPr>
          <w:b/>
          <w:i/>
        </w:rPr>
      </w:pPr>
      <w:r>
        <w:rPr>
          <w:b/>
        </w:rPr>
        <w:t>VISPĀRĪGĀ VIENOŠANĀS</w:t>
      </w:r>
      <w:r w:rsidRPr="001815F6">
        <w:rPr>
          <w:b/>
          <w:bCs/>
        </w:rPr>
        <w:t xml:space="preserve"> </w:t>
      </w:r>
      <w:r w:rsidRPr="001815F6">
        <w:rPr>
          <w:b/>
          <w:bCs/>
        </w:rPr>
        <w:t>SKUS 213/21 – VV</w:t>
      </w:r>
    </w:p>
    <w:p w14:paraId="0458DCA5" w14:textId="77777777" w:rsidR="00D71CD3" w:rsidRDefault="001815F6">
      <w:pPr>
        <w:jc w:val="center"/>
        <w:rPr>
          <w:b/>
        </w:rPr>
      </w:pPr>
      <w:r>
        <w:rPr>
          <w:b/>
        </w:rPr>
        <w:t xml:space="preserve">par medicīnas preces personāla individuālās aizsardzības nodrošināšanai </w:t>
      </w:r>
    </w:p>
    <w:p w14:paraId="6015481B" w14:textId="77777777" w:rsidR="00D71CD3" w:rsidRDefault="00D71CD3">
      <w:pPr>
        <w:jc w:val="center"/>
        <w:rPr>
          <w:b/>
        </w:rPr>
      </w:pPr>
    </w:p>
    <w:p w14:paraId="2B7C2D6B" w14:textId="77777777" w:rsidR="00D71CD3" w:rsidRDefault="001815F6">
      <w:pPr>
        <w:tabs>
          <w:tab w:val="right" w:pos="9637"/>
        </w:tabs>
        <w:spacing w:before="240" w:after="120"/>
      </w:pPr>
      <w:r>
        <w:t>Rīgā</w:t>
      </w:r>
      <w:r>
        <w:tab/>
      </w:r>
    </w:p>
    <w:p w14:paraId="55E73424" w14:textId="77777777" w:rsidR="00D71CD3" w:rsidRDefault="001815F6">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21C833DA" w14:textId="77777777" w:rsidR="00D71CD3" w:rsidRDefault="001815F6">
      <w:pPr>
        <w:spacing w:before="120" w:after="120"/>
        <w:ind w:firstLine="720"/>
        <w:jc w:val="both"/>
      </w:pP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187A05D1" w14:textId="77777777" w:rsidR="00D71CD3" w:rsidRDefault="001815F6">
      <w:pPr>
        <w:spacing w:before="120" w:after="120"/>
        <w:ind w:firstLine="720"/>
        <w:jc w:val="both"/>
        <w:rPr>
          <w:iCs/>
          <w:szCs w:val="22"/>
        </w:rPr>
      </w:pPr>
      <w:r>
        <w:rPr>
          <w:b/>
        </w:rPr>
        <w:t xml:space="preserve">SIA </w:t>
      </w:r>
      <w:r>
        <w:rPr>
          <w:b/>
          <w:color w:val="363636"/>
        </w:rPr>
        <w:t>„TZMO Latvija”</w:t>
      </w:r>
      <w:r>
        <w:t>, reģistrācijas Nr. 40003519061, juridiskā adrese Rankas iela 15, Rīga, LV-1005, kuru saskaņā ar statūt</w:t>
      </w:r>
      <w:r>
        <w:t>iem pārstāv valdes locekle Ruta Dziļuma</w:t>
      </w:r>
    </w:p>
    <w:p w14:paraId="1C3DF1AE" w14:textId="77777777" w:rsidR="00D71CD3" w:rsidRDefault="001815F6">
      <w:pPr>
        <w:spacing w:before="120" w:after="120"/>
        <w:ind w:firstLine="720"/>
        <w:jc w:val="both"/>
      </w:pPr>
      <w:r>
        <w:rPr>
          <w:iCs/>
          <w:szCs w:val="22"/>
        </w:rPr>
        <w:t xml:space="preserve">abi kopā </w:t>
      </w:r>
      <w:r>
        <w:t>(turpmāk - Puses) katrs atsevišķi – Puse,</w:t>
      </w:r>
    </w:p>
    <w:p w14:paraId="0F6D5005" w14:textId="77777777" w:rsidR="00D71CD3" w:rsidRDefault="001815F6">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w:t>
      </w:r>
      <w:r>
        <w:rPr>
          <w:bCs/>
        </w:rPr>
        <w:t xml:space="preserve">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w:t>
      </w:r>
      <w:r>
        <w:t xml:space="preserve"> Preces). Vienošanās tiek noslēgta par sekojošo:</w:t>
      </w:r>
    </w:p>
    <w:p w14:paraId="6FA37EF2" w14:textId="77777777" w:rsidR="00D71CD3" w:rsidRDefault="001815F6">
      <w:pPr>
        <w:pStyle w:val="ListParagraph"/>
        <w:numPr>
          <w:ilvl w:val="0"/>
          <w:numId w:val="1"/>
        </w:numPr>
        <w:spacing w:before="240" w:after="120"/>
        <w:ind w:left="482" w:hanging="482"/>
        <w:contextualSpacing w:val="0"/>
        <w:jc w:val="center"/>
        <w:rPr>
          <w:b/>
          <w:bCs/>
        </w:rPr>
      </w:pPr>
      <w:r>
        <w:rPr>
          <w:b/>
          <w:bCs/>
        </w:rPr>
        <w:t>VIENOŠANĀS PRIEKŠMETS</w:t>
      </w:r>
    </w:p>
    <w:p w14:paraId="6E49ED6B" w14:textId="77777777" w:rsidR="00D71CD3" w:rsidRDefault="001815F6">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piegādes līgumu a</w:t>
      </w:r>
      <w:r>
        <w:t>r Pircēju par šīm pozīcijām par Piegādātāja Konkursā piedāvātajām cenām, un noteikta piegādes līgumu noslēgšanas kārtība.</w:t>
      </w:r>
    </w:p>
    <w:p w14:paraId="2526041B" w14:textId="77777777" w:rsidR="00D71CD3" w:rsidRDefault="001815F6">
      <w:pPr>
        <w:pStyle w:val="ListParagraph"/>
        <w:numPr>
          <w:ilvl w:val="1"/>
          <w:numId w:val="1"/>
        </w:numPr>
        <w:spacing w:after="120"/>
        <w:ind w:left="482" w:hanging="482"/>
        <w:contextualSpacing w:val="0"/>
        <w:jc w:val="both"/>
      </w:pPr>
      <w:r>
        <w:t xml:space="preserve">Gadījumā, ja Piegādātājs Nr. 1 nespēj piegādāt kādu Preci, Pircējam ir tiesības pasūtīt Preces no nākamā Piegādātāja (Piegādātājs Nr. </w:t>
      </w:r>
      <w:r>
        <w:t>2 atbilstoši Vienošanās pielikumam Nr. 1), kurš piedāvājis nākamo zemāko cenu. Ja arī nākamais Piegādātājs nespēj piegādāt nepieciešamās Preces, Pircējs Preces pasūta no nākamā Piegādātāja (Piegādātājs Nr. 3 atbilstoši Vienošanās pielikumam Nr. 1), kurš pi</w:t>
      </w:r>
      <w:r>
        <w:t>edāvājis nākamo zemāko cenu.</w:t>
      </w:r>
    </w:p>
    <w:p w14:paraId="3E783861" w14:textId="77777777" w:rsidR="00D71CD3" w:rsidRDefault="001815F6">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w:t>
      </w:r>
      <w:r>
        <w:t xml:space="preserve"> zemākām cenām, Pircējs ir tiesīgs iegādāties Preces EIS un Piegādātājam nav tiesības celt pretenzijas par to.</w:t>
      </w:r>
    </w:p>
    <w:p w14:paraId="2517C066" w14:textId="77777777" w:rsidR="00D71CD3" w:rsidRDefault="001815F6">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w:t>
      </w:r>
      <w:r>
        <w:t xml:space="preserve"> cenas ir maksimāli pieļaujamās cenas, par kurām Piegādātājs apņemas piegādāt Preces visā Vienošanās darbības laikā.</w:t>
      </w:r>
    </w:p>
    <w:p w14:paraId="1B3CD6C2" w14:textId="77777777" w:rsidR="00D71CD3" w:rsidRDefault="001815F6">
      <w:pPr>
        <w:pStyle w:val="ListParagraph"/>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w:t>
      </w:r>
      <w:r>
        <w:t>omi.</w:t>
      </w:r>
    </w:p>
    <w:p w14:paraId="080791D1" w14:textId="77777777" w:rsidR="00D71CD3" w:rsidRDefault="001815F6">
      <w:pPr>
        <w:pStyle w:val="ListParagraph"/>
        <w:numPr>
          <w:ilvl w:val="0"/>
          <w:numId w:val="1"/>
        </w:numPr>
        <w:spacing w:before="240" w:after="120"/>
        <w:ind w:left="482" w:hanging="482"/>
        <w:contextualSpacing w:val="0"/>
        <w:jc w:val="center"/>
        <w:rPr>
          <w:b/>
          <w:bCs/>
        </w:rPr>
      </w:pPr>
      <w:r>
        <w:rPr>
          <w:b/>
          <w:bCs/>
        </w:rPr>
        <w:t>VIENOŠANĀS DARBĪBAS LAIKS</w:t>
      </w:r>
    </w:p>
    <w:p w14:paraId="2571C164" w14:textId="77777777" w:rsidR="00D71CD3" w:rsidRDefault="001815F6">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1814D13A" w14:textId="77777777" w:rsidR="00D71CD3" w:rsidRDefault="001815F6">
      <w:pPr>
        <w:pStyle w:val="ListParagraph"/>
        <w:numPr>
          <w:ilvl w:val="0"/>
          <w:numId w:val="1"/>
        </w:numPr>
        <w:spacing w:before="240" w:after="120"/>
        <w:ind w:left="482" w:hanging="482"/>
        <w:contextualSpacing w:val="0"/>
        <w:jc w:val="center"/>
        <w:rPr>
          <w:b/>
          <w:bCs/>
        </w:rPr>
      </w:pPr>
      <w:r>
        <w:rPr>
          <w:b/>
          <w:bCs/>
        </w:rPr>
        <w:t>PIEGĀDES LĪGUMA NOSLĒGŠANA UN IZPILDE</w:t>
      </w:r>
    </w:p>
    <w:p w14:paraId="71AB64E0" w14:textId="77777777" w:rsidR="00D71CD3" w:rsidRDefault="001815F6">
      <w:pPr>
        <w:pStyle w:val="ListParagraph"/>
        <w:numPr>
          <w:ilvl w:val="1"/>
          <w:numId w:val="1"/>
        </w:numPr>
        <w:spacing w:after="120"/>
        <w:contextualSpacing w:val="0"/>
        <w:jc w:val="both"/>
      </w:pPr>
      <w:r>
        <w:lastRenderedPageBreak/>
        <w:t xml:space="preserve"> Piegādes līgumus Pircējs slēdz ar Piegādātājiem saskaņā ar Vienošanās pielikumu Nr. 1 un tajā norādītājām cenām. </w:t>
      </w:r>
    </w:p>
    <w:p w14:paraId="5749D82A" w14:textId="77777777" w:rsidR="00D71CD3" w:rsidRDefault="001815F6">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46F6A796" w14:textId="77777777" w:rsidR="00D71CD3" w:rsidRDefault="001815F6">
      <w:pPr>
        <w:pStyle w:val="ListParagraph"/>
        <w:numPr>
          <w:ilvl w:val="2"/>
          <w:numId w:val="1"/>
        </w:numPr>
        <w:tabs>
          <w:tab w:val="left" w:pos="1276"/>
        </w:tabs>
        <w:spacing w:after="120"/>
        <w:ind w:left="1162" w:hanging="680"/>
        <w:contextualSpacing w:val="0"/>
        <w:jc w:val="both"/>
      </w:pPr>
      <w:r>
        <w:t>nosakot veidu, kādā Pircējs pasūtīs Preces;</w:t>
      </w:r>
    </w:p>
    <w:p w14:paraId="7F8807A5" w14:textId="77777777" w:rsidR="00D71CD3" w:rsidRDefault="001815F6">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209A4333" w14:textId="77777777" w:rsidR="00D71CD3" w:rsidRDefault="001815F6">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5910B18D" w14:textId="77777777" w:rsidR="00D71CD3" w:rsidRDefault="001815F6">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707846A3" w14:textId="77777777" w:rsidR="00D71CD3" w:rsidRDefault="001815F6">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513AC1F1" w14:textId="77777777" w:rsidR="00D71CD3" w:rsidRDefault="001815F6">
      <w:pPr>
        <w:pStyle w:val="ListParagraph"/>
        <w:numPr>
          <w:ilvl w:val="0"/>
          <w:numId w:val="1"/>
        </w:numPr>
        <w:spacing w:before="240" w:after="120"/>
        <w:ind w:left="482" w:hanging="482"/>
        <w:contextualSpacing w:val="0"/>
        <w:jc w:val="center"/>
        <w:rPr>
          <w:b/>
          <w:bCs/>
        </w:rPr>
      </w:pPr>
      <w:r>
        <w:rPr>
          <w:b/>
          <w:bCs/>
        </w:rPr>
        <w:t>PUŠU SAISTĪBAS</w:t>
      </w:r>
    </w:p>
    <w:p w14:paraId="562F1596" w14:textId="77777777" w:rsidR="00D71CD3" w:rsidRDefault="001815F6">
      <w:pPr>
        <w:pStyle w:val="ListParagraph"/>
        <w:numPr>
          <w:ilvl w:val="1"/>
          <w:numId w:val="1"/>
        </w:numPr>
        <w:spacing w:after="120"/>
        <w:contextualSpacing w:val="0"/>
        <w:jc w:val="both"/>
      </w:pPr>
      <w:r>
        <w:t>Piegādātāja saistības:</w:t>
      </w:r>
    </w:p>
    <w:p w14:paraId="675C0FEE" w14:textId="77777777" w:rsidR="00D71CD3" w:rsidRDefault="001815F6">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51DC01A4" w14:textId="77777777" w:rsidR="00D71CD3" w:rsidRDefault="001815F6">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0037C4CD" w14:textId="77777777" w:rsidR="00D71CD3" w:rsidRDefault="001815F6">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7685A63D" w14:textId="77777777" w:rsidR="00D71CD3" w:rsidRDefault="001815F6">
      <w:pPr>
        <w:pStyle w:val="ListParagraph"/>
        <w:numPr>
          <w:ilvl w:val="1"/>
          <w:numId w:val="1"/>
        </w:numPr>
        <w:spacing w:after="120"/>
        <w:contextualSpacing w:val="0"/>
        <w:jc w:val="both"/>
      </w:pPr>
      <w:r>
        <w:t xml:space="preserve"> Pircēja saistības:</w:t>
      </w:r>
    </w:p>
    <w:p w14:paraId="00477417" w14:textId="77777777" w:rsidR="00D71CD3" w:rsidRDefault="001815F6">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503D56DE" w14:textId="77777777" w:rsidR="00D71CD3" w:rsidRDefault="001815F6">
      <w:pPr>
        <w:pStyle w:val="ListParagraph"/>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w:t>
      </w:r>
      <w:r>
        <w:rPr>
          <w:lang w:eastAsia="lv-LV"/>
        </w:rPr>
        <w:t>a.</w:t>
      </w:r>
    </w:p>
    <w:p w14:paraId="5C3A6B8C" w14:textId="77777777" w:rsidR="00D71CD3" w:rsidRDefault="001815F6">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483CCD79" w14:textId="77777777" w:rsidR="00D71CD3" w:rsidRDefault="001815F6">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5FA37F36" w14:textId="77777777" w:rsidR="00D71CD3" w:rsidRDefault="001815F6">
      <w:pPr>
        <w:pStyle w:val="ListParagraph"/>
        <w:numPr>
          <w:ilvl w:val="1"/>
          <w:numId w:val="1"/>
        </w:numPr>
        <w:spacing w:after="120"/>
        <w:ind w:left="482" w:hanging="482"/>
        <w:contextualSpacing w:val="0"/>
        <w:jc w:val="both"/>
      </w:pPr>
      <w:r>
        <w:t xml:space="preserve">Vienošanos var papildināt, grozīt vai izbeigt, Pusēm </w:t>
      </w:r>
      <w:r>
        <w:t>savstarpēji vienojoties. Jebkuras izmaiņas vai papildinājumi tiek noformēti rakstveidā un kļūst par šīs</w:t>
      </w:r>
      <w:r>
        <w:rPr>
          <w:i/>
        </w:rPr>
        <w:t xml:space="preserve"> </w:t>
      </w:r>
      <w:r>
        <w:t>Vienošanās neatņemamām sastāvdaļām.</w:t>
      </w:r>
    </w:p>
    <w:p w14:paraId="1E5415CF" w14:textId="77777777" w:rsidR="00D71CD3" w:rsidRDefault="001815F6">
      <w:pPr>
        <w:pStyle w:val="ListParagraph"/>
        <w:numPr>
          <w:ilvl w:val="1"/>
          <w:numId w:val="1"/>
        </w:numPr>
        <w:spacing w:after="120"/>
        <w:ind w:left="482" w:hanging="482"/>
        <w:contextualSpacing w:val="0"/>
        <w:jc w:val="both"/>
      </w:pPr>
      <w:r>
        <w:t>Ja Piegādātājs pārkāpj ar Vienošanos noteiktās prasības, tad var uzskatīt, ka ar šīs darbības veikšanu Piegādātājs i</w:t>
      </w:r>
      <w:r>
        <w:t xml:space="preserve">r vienpusēji izbeidzis Vienošanos un Piegādātājs zaudē visas ar Vienošanos noteiktās tiesības. </w:t>
      </w:r>
    </w:p>
    <w:p w14:paraId="1AD55BDA" w14:textId="77777777" w:rsidR="00D71CD3" w:rsidRDefault="001815F6">
      <w:pPr>
        <w:pStyle w:val="ListParagraph"/>
        <w:numPr>
          <w:ilvl w:val="0"/>
          <w:numId w:val="1"/>
        </w:numPr>
        <w:spacing w:before="240" w:after="120"/>
        <w:ind w:left="482" w:hanging="482"/>
        <w:contextualSpacing w:val="0"/>
        <w:jc w:val="center"/>
        <w:rPr>
          <w:b/>
          <w:bCs/>
        </w:rPr>
      </w:pPr>
      <w:r>
        <w:rPr>
          <w:b/>
          <w:bCs/>
        </w:rPr>
        <w:lastRenderedPageBreak/>
        <w:t>STRĪDU RISINĀŠANAS KĀRTĪBA</w:t>
      </w:r>
    </w:p>
    <w:p w14:paraId="06316FC6" w14:textId="77777777" w:rsidR="00D71CD3" w:rsidRDefault="001815F6">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3199AD89" w14:textId="77777777" w:rsidR="00D71CD3" w:rsidRDefault="001815F6">
      <w:pPr>
        <w:pStyle w:val="ListParagraph"/>
        <w:numPr>
          <w:ilvl w:val="1"/>
          <w:numId w:val="1"/>
        </w:numPr>
        <w:spacing w:after="120"/>
        <w:ind w:left="482" w:hanging="482"/>
        <w:contextualSpacing w:val="0"/>
        <w:jc w:val="both"/>
      </w:pPr>
      <w:r>
        <w:t>Gadījumā, ja Puses nespēj vienoties saru</w:t>
      </w:r>
      <w:r>
        <w:t>nu ceļā, strīds Latvijas Republikas spēkā esošajos normatīvajos aktos noteiktajā kārtībā risināms Latvijas Republikas tiesā.</w:t>
      </w:r>
    </w:p>
    <w:p w14:paraId="6FA339DB" w14:textId="77777777" w:rsidR="00D71CD3" w:rsidRDefault="001815F6">
      <w:pPr>
        <w:pStyle w:val="ListParagraph"/>
        <w:numPr>
          <w:ilvl w:val="0"/>
          <w:numId w:val="1"/>
        </w:numPr>
        <w:spacing w:before="240" w:after="120"/>
        <w:ind w:left="482" w:hanging="482"/>
        <w:contextualSpacing w:val="0"/>
        <w:jc w:val="center"/>
        <w:rPr>
          <w:b/>
          <w:bCs/>
        </w:rPr>
      </w:pPr>
      <w:r>
        <w:rPr>
          <w:b/>
          <w:bCs/>
        </w:rPr>
        <w:t>NEPĀRVARAMA VARA</w:t>
      </w:r>
    </w:p>
    <w:p w14:paraId="63EF85A3" w14:textId="77777777" w:rsidR="00D71CD3" w:rsidRDefault="001815F6">
      <w:pPr>
        <w:numPr>
          <w:ilvl w:val="1"/>
          <w:numId w:val="1"/>
        </w:numPr>
        <w:tabs>
          <w:tab w:val="left" w:pos="540"/>
        </w:tabs>
        <w:spacing w:after="120"/>
        <w:ind w:left="482" w:hanging="482"/>
        <w:jc w:val="both"/>
      </w:pPr>
      <w:r>
        <w:t>Puses ir atbrīvotas no atbildības par Līgumā noteikto pienākumu pilnīgu vai daļēju neizpildi, ja šāda neizpilde ra</w:t>
      </w:r>
      <w:r>
        <w:t xml:space="preserve">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w:t>
      </w:r>
      <w:r>
        <w:t xml:space="preserve">o iestāžu oficiālu paziņojumu apstiprinātas epidēmijas, pandēmijas, vai slimības karantīnas ierobežojumi, kas izraisījuši preču piegādes/pakalpojumu sniegšanas, būvdarbu veikšanas ierobežojumus, par kuru ietekmi uz Līguma neizpildi Pusēm nav domstarpības, </w:t>
      </w:r>
      <w:r>
        <w:t>kā arī Puses nevarēja iespaidot un nevarēja izvairīties, veicot pienācīgus piesardzības pasākumus, un kas nav saistīts ar otras Puses darbību vai bezdarbību, un kas saistību izpildi padara par neiespējamu.</w:t>
      </w:r>
    </w:p>
    <w:p w14:paraId="76E69A73" w14:textId="77777777" w:rsidR="00D71CD3" w:rsidRDefault="001815F6">
      <w:pPr>
        <w:numPr>
          <w:ilvl w:val="1"/>
          <w:numId w:val="1"/>
        </w:numPr>
        <w:tabs>
          <w:tab w:val="left" w:pos="540"/>
        </w:tabs>
        <w:spacing w:afterLines="120" w:after="288"/>
        <w:ind w:left="482" w:hanging="482"/>
        <w:jc w:val="both"/>
      </w:pPr>
      <w:r>
        <w:t>Puse, kura nokļuvusi nepārvaramas varas apstākļos,</w:t>
      </w:r>
      <w:r>
        <w:t xml:space="preserve"> bez kavēšanās, rakstiski, pēc iespējas īsākā laikā, bet ne vēlāk kā 5 (piecu) darbdienu laikā pēc nepārvaramas varas apstākļu iestāšanās rakstiski informē par to otru Pusi, pievienojot dokumentu, kas apliecina nepārvaramas varas apstākļu iestāšanos. Puses</w:t>
      </w:r>
      <w:r>
        <w:t xml:space="preserve"> apņemas vienoties par to, vai šādi nepārvaramas varas apstākļi traucē vai padara šī Līguma saistību izpildi par neiespējamu, kā arī izlemt līgumsaistību turpināšanas (vai izbeigšanas) būtiskos jautājumus.</w:t>
      </w:r>
    </w:p>
    <w:p w14:paraId="07C01EA0" w14:textId="77777777" w:rsidR="00D71CD3" w:rsidRDefault="001815F6">
      <w:pPr>
        <w:pStyle w:val="ListParagraph"/>
        <w:numPr>
          <w:ilvl w:val="1"/>
          <w:numId w:val="1"/>
        </w:numPr>
        <w:spacing w:afterLines="120" w:after="288"/>
        <w:ind w:left="482" w:hanging="482"/>
        <w:contextualSpacing w:val="0"/>
        <w:jc w:val="both"/>
        <w:rPr>
          <w:bCs/>
          <w:szCs w:val="22"/>
        </w:rPr>
      </w:pPr>
      <w:r>
        <w:t>Ja nepārvaramas varas apstākļu dēļ līgums nav izpi</w:t>
      </w:r>
      <w:r>
        <w:t>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70638284" w14:textId="77777777" w:rsidR="00D71CD3" w:rsidRDefault="001815F6">
      <w:pPr>
        <w:pStyle w:val="ListParagraph"/>
        <w:numPr>
          <w:ilvl w:val="0"/>
          <w:numId w:val="1"/>
        </w:numPr>
        <w:spacing w:before="240" w:after="120"/>
        <w:ind w:left="482" w:hanging="482"/>
        <w:contextualSpacing w:val="0"/>
        <w:jc w:val="center"/>
        <w:rPr>
          <w:b/>
          <w:bCs/>
        </w:rPr>
      </w:pPr>
      <w:r>
        <w:rPr>
          <w:b/>
          <w:bCs/>
        </w:rPr>
        <w:t>CITI NOTEIKUMI</w:t>
      </w:r>
    </w:p>
    <w:p w14:paraId="3492EA1B" w14:textId="77777777" w:rsidR="00D71CD3" w:rsidRDefault="001815F6">
      <w:pPr>
        <w:pStyle w:val="ListParagraph"/>
        <w:numPr>
          <w:ilvl w:val="1"/>
          <w:numId w:val="1"/>
        </w:numPr>
        <w:tabs>
          <w:tab w:val="left" w:pos="-993"/>
          <w:tab w:val="left" w:pos="-851"/>
        </w:tabs>
        <w:spacing w:after="120"/>
        <w:contextualSpacing w:val="0"/>
        <w:jc w:val="both"/>
      </w:pPr>
      <w:r>
        <w:t>Vienošanās ir saistoša Pusēm un to saistību pārņēmējiem.</w:t>
      </w:r>
    </w:p>
    <w:p w14:paraId="032BD3DF" w14:textId="77777777" w:rsidR="00D71CD3" w:rsidRDefault="001815F6">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436BBF1E" w14:textId="77777777" w:rsidR="00D71CD3" w:rsidRDefault="001815F6">
      <w:pPr>
        <w:pStyle w:val="ListParagraph"/>
        <w:numPr>
          <w:ilvl w:val="1"/>
          <w:numId w:val="1"/>
        </w:numPr>
        <w:spacing w:after="120"/>
        <w:contextualSpacing w:val="0"/>
        <w:jc w:val="both"/>
      </w:pPr>
      <w:r>
        <w:t>Kontaktpersonas:</w:t>
      </w:r>
    </w:p>
    <w:p w14:paraId="178FC914" w14:textId="77777777" w:rsidR="00D71CD3" w:rsidRDefault="001815F6">
      <w:pPr>
        <w:pStyle w:val="ListParagraph"/>
        <w:numPr>
          <w:ilvl w:val="2"/>
          <w:numId w:val="1"/>
        </w:numPr>
        <w:spacing w:after="120"/>
        <w:ind w:left="1162" w:hanging="680"/>
        <w:contextualSpacing w:val="0"/>
        <w:jc w:val="both"/>
      </w:pPr>
      <w:r>
        <w:t xml:space="preserve">No Pircēja puses: Aptiekas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0221D352" w14:textId="77777777" w:rsidR="00D71CD3" w:rsidRDefault="001815F6">
      <w:pPr>
        <w:pStyle w:val="ListParagraph"/>
        <w:numPr>
          <w:ilvl w:val="2"/>
          <w:numId w:val="1"/>
        </w:numPr>
        <w:spacing w:after="120"/>
        <w:ind w:left="1162" w:hanging="680"/>
        <w:contextualSpacing w:val="0"/>
        <w:jc w:val="both"/>
      </w:pPr>
      <w:r>
        <w:t>No Piegādātāja puses: par vienošanos – Līga Goldberga, Medicīnas iestāžu departamenta</w:t>
      </w:r>
      <w:r>
        <w:t xml:space="preserve"> vadītāja, tel.29816827. e-pasts – </w:t>
      </w:r>
      <w:hyperlink r:id="rId11" w:history="1">
        <w:r>
          <w:rPr>
            <w:rStyle w:val="Hyperlink"/>
          </w:rPr>
          <w:t>liga.goldberga@tzmo-global.com</w:t>
        </w:r>
      </w:hyperlink>
      <w:r>
        <w:t xml:space="preserve"> par preču izrakstīšanu - Ieva Švede tālr. 67382585, e- pasts </w:t>
      </w:r>
      <w:hyperlink r:id="rId12" w:history="1">
        <w:r>
          <w:rPr>
            <w:rStyle w:val="Hyperlink"/>
          </w:rPr>
          <w:t>ieva.svede@tzmo-global.com</w:t>
        </w:r>
      </w:hyperlink>
      <w:r>
        <w:t xml:space="preserve">. </w:t>
      </w:r>
    </w:p>
    <w:p w14:paraId="66B4961A" w14:textId="77777777" w:rsidR="00D71CD3" w:rsidRDefault="001815F6">
      <w:pPr>
        <w:pStyle w:val="ListParagraph"/>
        <w:numPr>
          <w:ilvl w:val="1"/>
          <w:numId w:val="1"/>
        </w:numPr>
        <w:spacing w:after="120"/>
        <w:contextualSpacing w:val="0"/>
        <w:jc w:val="both"/>
      </w:pPr>
      <w:r>
        <w:t>Vienošanās pielikums ir Vienošanās neatņemama sastāvdaļa.</w:t>
      </w:r>
    </w:p>
    <w:p w14:paraId="38EF4ED2" w14:textId="77777777" w:rsidR="00D71CD3" w:rsidRDefault="001815F6">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2 (divām) lapām. Vieno</w:t>
      </w:r>
      <w:r>
        <w:t>šanās eksemplāri izsniegti pa vienam katrai Pusei, abiem Vienošanās eksemplāriem ir vienāds juridisks spēks.</w:t>
      </w:r>
    </w:p>
    <w:p w14:paraId="4FAFA3EE" w14:textId="77777777" w:rsidR="00D71CD3" w:rsidRDefault="001815F6">
      <w:pPr>
        <w:spacing w:after="160" w:line="259" w:lineRule="auto"/>
      </w:pPr>
      <w:r>
        <w:br w:type="page"/>
      </w:r>
    </w:p>
    <w:p w14:paraId="2030D2E8" w14:textId="77777777" w:rsidR="00D71CD3" w:rsidRDefault="00D71CD3">
      <w:pPr>
        <w:pStyle w:val="ListParagraph"/>
        <w:tabs>
          <w:tab w:val="left" w:pos="-993"/>
          <w:tab w:val="left" w:pos="-851"/>
        </w:tabs>
        <w:spacing w:after="160" w:line="259" w:lineRule="auto"/>
        <w:ind w:left="480"/>
        <w:contextualSpacing w:val="0"/>
        <w:jc w:val="both"/>
      </w:pPr>
    </w:p>
    <w:p w14:paraId="0C17C1E9" w14:textId="77777777" w:rsidR="00D71CD3" w:rsidRDefault="001815F6">
      <w:pPr>
        <w:pStyle w:val="ListParagraph"/>
        <w:numPr>
          <w:ilvl w:val="0"/>
          <w:numId w:val="1"/>
        </w:numPr>
        <w:spacing w:before="240" w:after="120"/>
        <w:ind w:left="482" w:hanging="482"/>
        <w:contextualSpacing w:val="0"/>
        <w:jc w:val="center"/>
        <w:rPr>
          <w:b/>
          <w:bCs/>
        </w:rPr>
      </w:pPr>
      <w:r>
        <w:rPr>
          <w:b/>
          <w:bCs/>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D71CD3" w14:paraId="3DBF19EB" w14:textId="77777777">
        <w:tc>
          <w:tcPr>
            <w:tcW w:w="4926" w:type="dxa"/>
          </w:tcPr>
          <w:p w14:paraId="0676C0E5" w14:textId="77777777" w:rsidR="00D71CD3" w:rsidRDefault="001815F6">
            <w:pPr>
              <w:spacing w:before="120" w:after="120"/>
              <w:jc w:val="both"/>
              <w:rPr>
                <w:b/>
                <w:bCs/>
                <w:szCs w:val="22"/>
              </w:rPr>
            </w:pPr>
            <w:r>
              <w:rPr>
                <w:b/>
                <w:bCs/>
                <w:szCs w:val="22"/>
              </w:rPr>
              <w:t>PIRCĒJS:</w:t>
            </w:r>
          </w:p>
          <w:p w14:paraId="14D2BBFA" w14:textId="77777777" w:rsidR="00D71CD3" w:rsidRDefault="001815F6">
            <w:pPr>
              <w:tabs>
                <w:tab w:val="left" w:pos="2160"/>
              </w:tabs>
              <w:spacing w:line="256" w:lineRule="auto"/>
              <w:ind w:right="-2"/>
              <w:jc w:val="both"/>
              <w:rPr>
                <w:b/>
                <w:bCs/>
              </w:rPr>
            </w:pPr>
            <w:r>
              <w:rPr>
                <w:b/>
                <w:bCs/>
              </w:rPr>
              <w:t>VSIA “Paula Stradiņa klīniskās</w:t>
            </w:r>
          </w:p>
          <w:p w14:paraId="738234CB" w14:textId="77777777" w:rsidR="00D71CD3" w:rsidRDefault="001815F6">
            <w:pPr>
              <w:tabs>
                <w:tab w:val="left" w:pos="2160"/>
              </w:tabs>
              <w:spacing w:line="256" w:lineRule="auto"/>
              <w:ind w:right="-2"/>
              <w:jc w:val="both"/>
              <w:rPr>
                <w:b/>
                <w:bCs/>
              </w:rPr>
            </w:pPr>
            <w:r>
              <w:rPr>
                <w:b/>
                <w:bCs/>
              </w:rPr>
              <w:t>universitātes slimnīca”</w:t>
            </w:r>
          </w:p>
          <w:p w14:paraId="65303AD1" w14:textId="77777777" w:rsidR="00D71CD3" w:rsidRDefault="001815F6">
            <w:pPr>
              <w:tabs>
                <w:tab w:val="left" w:pos="2160"/>
              </w:tabs>
              <w:spacing w:line="256" w:lineRule="auto"/>
              <w:ind w:right="-2"/>
              <w:jc w:val="both"/>
              <w:rPr>
                <w:bCs/>
              </w:rPr>
            </w:pPr>
            <w:r>
              <w:rPr>
                <w:bCs/>
              </w:rPr>
              <w:t>Reģ. Nr. 40003457109</w:t>
            </w:r>
          </w:p>
          <w:p w14:paraId="064D537F" w14:textId="77777777" w:rsidR="00D71CD3" w:rsidRDefault="001815F6">
            <w:pPr>
              <w:tabs>
                <w:tab w:val="left" w:pos="2160"/>
              </w:tabs>
              <w:spacing w:line="256" w:lineRule="auto"/>
              <w:ind w:right="-2"/>
              <w:jc w:val="both"/>
              <w:rPr>
                <w:bCs/>
              </w:rPr>
            </w:pPr>
            <w:r>
              <w:rPr>
                <w:bCs/>
              </w:rPr>
              <w:t xml:space="preserve">Pilsoņu iela 13, Rīga, LV - </w:t>
            </w:r>
            <w:r>
              <w:rPr>
                <w:bCs/>
              </w:rPr>
              <w:t>1002</w:t>
            </w:r>
          </w:p>
          <w:p w14:paraId="5F88F45E" w14:textId="77777777" w:rsidR="00D71CD3" w:rsidRDefault="001815F6">
            <w:pPr>
              <w:tabs>
                <w:tab w:val="left" w:pos="2160"/>
              </w:tabs>
              <w:spacing w:line="256" w:lineRule="auto"/>
              <w:ind w:right="-2"/>
              <w:jc w:val="both"/>
              <w:rPr>
                <w:bCs/>
              </w:rPr>
            </w:pPr>
            <w:r>
              <w:rPr>
                <w:bCs/>
              </w:rPr>
              <w:t>Konta Nr. LV74HABA0551027673367</w:t>
            </w:r>
          </w:p>
          <w:p w14:paraId="2413B40F" w14:textId="77777777" w:rsidR="00D71CD3" w:rsidRDefault="001815F6">
            <w:pPr>
              <w:tabs>
                <w:tab w:val="left" w:pos="2160"/>
              </w:tabs>
              <w:spacing w:line="256" w:lineRule="auto"/>
              <w:ind w:right="-2"/>
              <w:jc w:val="both"/>
              <w:rPr>
                <w:bCs/>
              </w:rPr>
            </w:pPr>
            <w:r>
              <w:rPr>
                <w:bCs/>
              </w:rPr>
              <w:t xml:space="preserve">Banka: AS Swedbank </w:t>
            </w:r>
          </w:p>
          <w:p w14:paraId="22EF6B3C" w14:textId="77777777" w:rsidR="00D71CD3" w:rsidRDefault="001815F6">
            <w:pPr>
              <w:tabs>
                <w:tab w:val="left" w:pos="2160"/>
              </w:tabs>
              <w:spacing w:line="256" w:lineRule="auto"/>
              <w:ind w:right="-2"/>
              <w:jc w:val="both"/>
              <w:rPr>
                <w:bCs/>
              </w:rPr>
            </w:pPr>
            <w:r>
              <w:rPr>
                <w:bCs/>
              </w:rPr>
              <w:t>Kods: HABALV22</w:t>
            </w:r>
          </w:p>
          <w:p w14:paraId="55F190B9" w14:textId="77777777" w:rsidR="00D71CD3" w:rsidRDefault="00D71CD3">
            <w:pPr>
              <w:tabs>
                <w:tab w:val="left" w:pos="2160"/>
              </w:tabs>
              <w:spacing w:line="256" w:lineRule="auto"/>
              <w:ind w:right="-2"/>
              <w:jc w:val="both"/>
              <w:rPr>
                <w:bCs/>
              </w:rPr>
            </w:pPr>
          </w:p>
          <w:p w14:paraId="2F49DE54" w14:textId="77777777" w:rsidR="00D71CD3" w:rsidRDefault="001815F6">
            <w:pPr>
              <w:tabs>
                <w:tab w:val="left" w:pos="2160"/>
              </w:tabs>
              <w:spacing w:line="256" w:lineRule="auto"/>
              <w:ind w:right="-2"/>
              <w:jc w:val="both"/>
              <w:rPr>
                <w:bCs/>
              </w:rPr>
            </w:pPr>
            <w:r>
              <w:rPr>
                <w:bCs/>
              </w:rPr>
              <w:t>__________________________</w:t>
            </w:r>
          </w:p>
          <w:p w14:paraId="3FE2FD2E" w14:textId="77777777" w:rsidR="00D71CD3" w:rsidRDefault="001815F6">
            <w:pPr>
              <w:tabs>
                <w:tab w:val="left" w:pos="2160"/>
              </w:tabs>
              <w:spacing w:line="256" w:lineRule="auto"/>
              <w:ind w:right="-2"/>
              <w:jc w:val="both"/>
              <w:rPr>
                <w:bCs/>
              </w:rPr>
            </w:pPr>
            <w:r>
              <w:rPr>
                <w:bCs/>
              </w:rPr>
              <w:t>R.Muciņš</w:t>
            </w:r>
          </w:p>
          <w:p w14:paraId="02179E30" w14:textId="77777777" w:rsidR="00D71CD3" w:rsidRDefault="00D71CD3">
            <w:pPr>
              <w:tabs>
                <w:tab w:val="left" w:pos="2160"/>
              </w:tabs>
              <w:spacing w:line="256" w:lineRule="auto"/>
              <w:ind w:right="-2"/>
              <w:jc w:val="both"/>
              <w:rPr>
                <w:bCs/>
              </w:rPr>
            </w:pPr>
          </w:p>
          <w:p w14:paraId="5F1C4E0F" w14:textId="77777777" w:rsidR="00D71CD3" w:rsidRDefault="001815F6">
            <w:pPr>
              <w:tabs>
                <w:tab w:val="left" w:pos="2160"/>
              </w:tabs>
              <w:spacing w:line="256" w:lineRule="auto"/>
              <w:ind w:right="-2"/>
              <w:jc w:val="both"/>
              <w:rPr>
                <w:bCs/>
              </w:rPr>
            </w:pPr>
            <w:r>
              <w:rPr>
                <w:bCs/>
              </w:rPr>
              <w:t>_________________________</w:t>
            </w:r>
          </w:p>
          <w:p w14:paraId="5BEB7F40" w14:textId="77777777" w:rsidR="00D71CD3" w:rsidRDefault="001815F6">
            <w:pPr>
              <w:tabs>
                <w:tab w:val="left" w:pos="2160"/>
              </w:tabs>
              <w:spacing w:line="256" w:lineRule="auto"/>
              <w:ind w:right="-2"/>
              <w:jc w:val="both"/>
              <w:rPr>
                <w:bCs/>
              </w:rPr>
            </w:pPr>
            <w:r>
              <w:rPr>
                <w:bCs/>
              </w:rPr>
              <w:t>I.Kreicberga</w:t>
            </w:r>
          </w:p>
          <w:p w14:paraId="747D9702" w14:textId="77777777" w:rsidR="00D71CD3" w:rsidRDefault="00D71CD3">
            <w:pPr>
              <w:tabs>
                <w:tab w:val="left" w:pos="2160"/>
              </w:tabs>
              <w:spacing w:line="256" w:lineRule="auto"/>
              <w:ind w:right="-2"/>
              <w:jc w:val="both"/>
              <w:rPr>
                <w:bCs/>
              </w:rPr>
            </w:pPr>
          </w:p>
          <w:p w14:paraId="111722FD" w14:textId="77777777" w:rsidR="00D71CD3" w:rsidRDefault="001815F6">
            <w:pPr>
              <w:tabs>
                <w:tab w:val="left" w:pos="2160"/>
              </w:tabs>
              <w:spacing w:line="256" w:lineRule="auto"/>
              <w:ind w:right="-2"/>
              <w:jc w:val="both"/>
              <w:rPr>
                <w:bCs/>
              </w:rPr>
            </w:pPr>
            <w:r>
              <w:rPr>
                <w:bCs/>
              </w:rPr>
              <w:t>_________________________</w:t>
            </w:r>
          </w:p>
          <w:p w14:paraId="3FA5EFBE" w14:textId="77777777" w:rsidR="00D71CD3" w:rsidRDefault="001815F6">
            <w:pPr>
              <w:pStyle w:val="BodyText"/>
              <w:numPr>
                <w:ilvl w:val="0"/>
                <w:numId w:val="2"/>
              </w:numPr>
              <w:spacing w:after="80"/>
              <w:rPr>
                <w:bCs/>
              </w:rPr>
            </w:pPr>
            <w:r>
              <w:rPr>
                <w:bCs/>
              </w:rPr>
              <w:t xml:space="preserve">Naglis </w:t>
            </w:r>
          </w:p>
          <w:p w14:paraId="5BEB2FD4" w14:textId="77777777" w:rsidR="00D71CD3" w:rsidRDefault="001815F6">
            <w:pPr>
              <w:pStyle w:val="BodyText"/>
              <w:spacing w:after="80"/>
              <w:rPr>
                <w:bCs/>
                <w:i/>
                <w:lang w:val="de-DE"/>
              </w:rPr>
            </w:pPr>
            <w:r>
              <w:rPr>
                <w:bCs/>
                <w:i/>
                <w:lang w:val="de-DE"/>
              </w:rPr>
              <w:t>_____________________________</w:t>
            </w:r>
          </w:p>
          <w:p w14:paraId="6896AFC1" w14:textId="77777777" w:rsidR="00D71CD3" w:rsidRDefault="001815F6">
            <w:pPr>
              <w:spacing w:after="80"/>
              <w:rPr>
                <w:b/>
                <w:bCs/>
                <w:szCs w:val="22"/>
              </w:rPr>
            </w:pPr>
            <w:r>
              <w:rPr>
                <w:bCs/>
              </w:rPr>
              <w:t>A.Ločmele</w:t>
            </w:r>
          </w:p>
        </w:tc>
        <w:tc>
          <w:tcPr>
            <w:tcW w:w="4927" w:type="dxa"/>
          </w:tcPr>
          <w:p w14:paraId="77E173D9" w14:textId="77777777" w:rsidR="00D71CD3" w:rsidRDefault="001815F6">
            <w:pPr>
              <w:spacing w:before="120" w:after="120"/>
              <w:jc w:val="both"/>
              <w:rPr>
                <w:b/>
              </w:rPr>
            </w:pPr>
            <w:r>
              <w:rPr>
                <w:b/>
                <w:bCs/>
                <w:szCs w:val="22"/>
              </w:rPr>
              <w:t>PIEGĀDĀTĀJS</w:t>
            </w:r>
            <w:r>
              <w:rPr>
                <w:szCs w:val="22"/>
              </w:rPr>
              <w:t>:</w:t>
            </w:r>
            <w:r>
              <w:rPr>
                <w:b/>
              </w:rPr>
              <w:t xml:space="preserve"> </w:t>
            </w:r>
          </w:p>
          <w:p w14:paraId="1F264BE3" w14:textId="77777777" w:rsidR="00D71CD3" w:rsidRDefault="001815F6">
            <w:pPr>
              <w:jc w:val="both"/>
              <w:rPr>
                <w:b/>
              </w:rPr>
            </w:pPr>
            <w:r>
              <w:rPr>
                <w:b/>
              </w:rPr>
              <w:t xml:space="preserve">SIA „TZMO </w:t>
            </w:r>
            <w:r>
              <w:rPr>
                <w:b/>
              </w:rPr>
              <w:t>Latvija”</w:t>
            </w:r>
          </w:p>
          <w:p w14:paraId="1B3A0747" w14:textId="77777777" w:rsidR="00D71CD3" w:rsidRDefault="00D71CD3">
            <w:pPr>
              <w:jc w:val="both"/>
              <w:rPr>
                <w:b/>
              </w:rPr>
            </w:pPr>
          </w:p>
          <w:p w14:paraId="1C35F108" w14:textId="77777777" w:rsidR="00D71CD3" w:rsidRDefault="001815F6">
            <w:pPr>
              <w:jc w:val="both"/>
            </w:pPr>
            <w:r>
              <w:t>Rankas iela 15, Rīga, LV-1005</w:t>
            </w:r>
          </w:p>
          <w:p w14:paraId="5C6C8942" w14:textId="77777777" w:rsidR="00D71CD3" w:rsidRDefault="001815F6">
            <w:pPr>
              <w:jc w:val="both"/>
            </w:pPr>
            <w:r>
              <w:t>Reģ. Nr. 40003519061</w:t>
            </w:r>
          </w:p>
          <w:p w14:paraId="4ADAA283" w14:textId="77777777" w:rsidR="00D71CD3" w:rsidRDefault="001815F6">
            <w:pPr>
              <w:pStyle w:val="Title"/>
              <w:jc w:val="left"/>
              <w:rPr>
                <w:rFonts w:ascii="Times New Roman" w:hAnsi="Times New Roman"/>
                <w:b w:val="0"/>
              </w:rPr>
            </w:pPr>
            <w:r>
              <w:rPr>
                <w:rFonts w:ascii="Times New Roman" w:hAnsi="Times New Roman"/>
                <w:b w:val="0"/>
              </w:rPr>
              <w:t xml:space="preserve">Banka: </w:t>
            </w:r>
          </w:p>
          <w:p w14:paraId="409946E5" w14:textId="77777777" w:rsidR="00D71CD3" w:rsidRDefault="001815F6">
            <w:pPr>
              <w:pStyle w:val="Title"/>
              <w:jc w:val="left"/>
              <w:rPr>
                <w:rFonts w:ascii="Times New Roman" w:hAnsi="Times New Roman"/>
                <w:b w:val="0"/>
              </w:rPr>
            </w:pPr>
            <w:r>
              <w:rPr>
                <w:rFonts w:ascii="Times New Roman" w:hAnsi="Times New Roman"/>
                <w:b w:val="0"/>
              </w:rPr>
              <w:t xml:space="preserve">Bankas kods </w:t>
            </w:r>
          </w:p>
          <w:p w14:paraId="534187B9" w14:textId="77777777" w:rsidR="00D71CD3" w:rsidRDefault="001815F6">
            <w:pPr>
              <w:pStyle w:val="Title"/>
              <w:jc w:val="left"/>
              <w:rPr>
                <w:rFonts w:ascii="Times New Roman" w:hAnsi="Times New Roman"/>
                <w:b w:val="0"/>
              </w:rPr>
            </w:pPr>
            <w:r>
              <w:rPr>
                <w:rFonts w:ascii="Times New Roman" w:hAnsi="Times New Roman"/>
                <w:b w:val="0"/>
              </w:rPr>
              <w:t xml:space="preserve">Konta Nr. </w:t>
            </w:r>
          </w:p>
          <w:p w14:paraId="14009775" w14:textId="77777777" w:rsidR="00D71CD3" w:rsidRDefault="001815F6">
            <w:pPr>
              <w:pStyle w:val="BodyText"/>
              <w:spacing w:before="160"/>
              <w:rPr>
                <w:bCs/>
                <w:i/>
              </w:rPr>
            </w:pPr>
            <w:r>
              <w:rPr>
                <w:bCs/>
                <w:i/>
              </w:rPr>
              <w:t>____________________________</w:t>
            </w:r>
          </w:p>
          <w:p w14:paraId="75BF0F69" w14:textId="77777777" w:rsidR="00D71CD3" w:rsidRDefault="00D71CD3">
            <w:pPr>
              <w:jc w:val="both"/>
              <w:rPr>
                <w:szCs w:val="22"/>
              </w:rPr>
            </w:pPr>
          </w:p>
        </w:tc>
      </w:tr>
    </w:tbl>
    <w:p w14:paraId="67522010" w14:textId="77777777" w:rsidR="00D71CD3" w:rsidRDefault="00D71CD3">
      <w:pPr>
        <w:spacing w:before="120" w:after="120"/>
        <w:jc w:val="center"/>
        <w:rPr>
          <w:b/>
          <w:bCs/>
        </w:rPr>
      </w:pPr>
    </w:p>
    <w:p w14:paraId="54A501E5" w14:textId="77777777" w:rsidR="00D71CD3" w:rsidRDefault="001815F6">
      <w:pPr>
        <w:pStyle w:val="BodyText"/>
        <w:spacing w:before="120"/>
        <w:jc w:val="center"/>
        <w:rPr>
          <w:caps/>
        </w:rPr>
        <w:sectPr w:rsidR="00D71CD3">
          <w:footerReference w:type="default" r:id="rId13"/>
          <w:footerReference w:type="first" r:id="rId14"/>
          <w:pgSz w:w="11906" w:h="16838"/>
          <w:pgMar w:top="1134" w:right="851" w:bottom="1134" w:left="1418" w:header="709" w:footer="283" w:gutter="0"/>
          <w:pgNumType w:start="1"/>
          <w:cols w:space="708"/>
          <w:titlePg/>
          <w:docGrid w:linePitch="360"/>
        </w:sectPr>
      </w:pPr>
      <w:r>
        <w:rPr>
          <w:caps/>
        </w:rPr>
        <w:t xml:space="preserve">ŠIS Dokuments ir parakstīts ar drošu </w:t>
      </w:r>
      <w:r>
        <w:rPr>
          <w:caps/>
        </w:rPr>
        <w:t>elektronisko parakstu un satur laika zīmogu</w:t>
      </w:r>
    </w:p>
    <w:p w14:paraId="5946803D" w14:textId="77777777" w:rsidR="00D71CD3" w:rsidRDefault="00D71CD3">
      <w:pPr>
        <w:pStyle w:val="BodyText"/>
        <w:spacing w:before="120"/>
        <w:jc w:val="center"/>
      </w:pPr>
    </w:p>
    <w:sectPr w:rsidR="00D71CD3">
      <w:footerReference w:type="default" r:id="rId15"/>
      <w:footerReference w:type="first" r:id="rId16"/>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A625A" w14:textId="77777777" w:rsidR="00D71CD3" w:rsidRDefault="001815F6">
      <w:r>
        <w:separator/>
      </w:r>
    </w:p>
  </w:endnote>
  <w:endnote w:type="continuationSeparator" w:id="0">
    <w:p w14:paraId="36F45CF4" w14:textId="77777777" w:rsidR="00D71CD3" w:rsidRDefault="0018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BC08" w14:textId="77777777" w:rsidR="00D71CD3" w:rsidRDefault="001815F6">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139C347C" w14:textId="77777777" w:rsidR="00D71CD3" w:rsidRDefault="00D71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0AC3" w14:textId="77777777" w:rsidR="00D71CD3" w:rsidRDefault="00D71CD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6D09" w14:textId="77777777" w:rsidR="00D71CD3" w:rsidRDefault="001815F6">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45C1E31D" w14:textId="77777777" w:rsidR="00D71CD3" w:rsidRDefault="00D71C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3774B" w14:textId="77777777" w:rsidR="00D71CD3" w:rsidRDefault="00D71C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27A08" w14:textId="77777777" w:rsidR="00D71CD3" w:rsidRDefault="001815F6">
      <w:r>
        <w:separator/>
      </w:r>
    </w:p>
  </w:footnote>
  <w:footnote w:type="continuationSeparator" w:id="0">
    <w:p w14:paraId="566B8EAB" w14:textId="77777777" w:rsidR="00D71CD3" w:rsidRDefault="0018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17C13"/>
    <w:rsid w:val="00023CD4"/>
    <w:rsid w:val="00025B37"/>
    <w:rsid w:val="0003518D"/>
    <w:rsid w:val="00046A0A"/>
    <w:rsid w:val="000725A1"/>
    <w:rsid w:val="0008336C"/>
    <w:rsid w:val="00095534"/>
    <w:rsid w:val="00097850"/>
    <w:rsid w:val="000E7011"/>
    <w:rsid w:val="00121454"/>
    <w:rsid w:val="0012533A"/>
    <w:rsid w:val="00133428"/>
    <w:rsid w:val="0013648D"/>
    <w:rsid w:val="001548EC"/>
    <w:rsid w:val="00177BF2"/>
    <w:rsid w:val="001815F6"/>
    <w:rsid w:val="001A1599"/>
    <w:rsid w:val="001B1FFB"/>
    <w:rsid w:val="001C7C66"/>
    <w:rsid w:val="001D7715"/>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41AB0"/>
    <w:rsid w:val="004562F4"/>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217DD"/>
    <w:rsid w:val="00646EE7"/>
    <w:rsid w:val="0066139B"/>
    <w:rsid w:val="006877E3"/>
    <w:rsid w:val="006A392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46227"/>
    <w:rsid w:val="00A7742B"/>
    <w:rsid w:val="00A949EE"/>
    <w:rsid w:val="00AC55E2"/>
    <w:rsid w:val="00AD6F1A"/>
    <w:rsid w:val="00B02F29"/>
    <w:rsid w:val="00B0797A"/>
    <w:rsid w:val="00B12987"/>
    <w:rsid w:val="00B64E0A"/>
    <w:rsid w:val="00B65341"/>
    <w:rsid w:val="00BE53E9"/>
    <w:rsid w:val="00C0257A"/>
    <w:rsid w:val="00C0473C"/>
    <w:rsid w:val="00C231A8"/>
    <w:rsid w:val="00C47B7D"/>
    <w:rsid w:val="00C669E2"/>
    <w:rsid w:val="00C86466"/>
    <w:rsid w:val="00CB65CD"/>
    <w:rsid w:val="00CC0314"/>
    <w:rsid w:val="00CF55F5"/>
    <w:rsid w:val="00D33758"/>
    <w:rsid w:val="00D71CD3"/>
    <w:rsid w:val="00D724B5"/>
    <w:rsid w:val="00D73B1D"/>
    <w:rsid w:val="00D92751"/>
    <w:rsid w:val="00DA364E"/>
    <w:rsid w:val="00DD69F0"/>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973D5"/>
    <w:rsid w:val="00FB161B"/>
    <w:rsid w:val="00FB6F6B"/>
    <w:rsid w:val="00FC78C4"/>
    <w:rsid w:val="00FD5600"/>
    <w:rsid w:val="35EC12E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2665"/>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eva.svede@tzmo-glob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ga.goldberga@tzmo-global.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01126-5005-4362-92BD-4F3D9FBF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6230</Words>
  <Characters>3552</Characters>
  <Application>Microsoft Office Word</Application>
  <DocSecurity>0</DocSecurity>
  <Lines>29</Lines>
  <Paragraphs>19</Paragraphs>
  <ScaleCrop>false</ScaleCrop>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5</cp:revision>
  <cp:lastPrinted>2020-08-04T05:36:00Z</cp:lastPrinted>
  <dcterms:created xsi:type="dcterms:W3CDTF">2021-02-24T22:53:00Z</dcterms:created>
  <dcterms:modified xsi:type="dcterms:W3CDTF">2021-04-13T12:59:00Z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