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37BC1" w:rsidTr="00937BC1">
        <w:trPr>
          <w:trHeight w:val="663"/>
        </w:trPr>
        <w:tc>
          <w:tcPr>
            <w:tcW w:w="9759" w:type="dxa"/>
            <w:tcBorders>
              <w:top w:val="nil"/>
              <w:left w:val="nil"/>
              <w:bottom w:val="nil"/>
              <w:right w:val="nil"/>
            </w:tcBorders>
          </w:tcPr>
          <w:p w:rsidR="00937BC1" w:rsidRDefault="00937BC1">
            <w:pPr>
              <w:spacing w:after="0" w:line="240" w:lineRule="auto"/>
              <w:ind w:right="49"/>
              <w:jc w:val="both"/>
              <w:outlineLvl w:val="0"/>
              <w:rPr>
                <w:rFonts w:ascii="Times New Roman" w:eastAsia="Times New Roman" w:hAnsi="Times New Roman"/>
                <w:sz w:val="24"/>
                <w:szCs w:val="24"/>
                <w:lang w:eastAsia="lv-LV"/>
              </w:rPr>
            </w:pPr>
          </w:p>
          <w:p w:rsidR="00937BC1" w:rsidRDefault="00937BC1">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04578C">
              <w:rPr>
                <w:rFonts w:ascii="Times New Roman" w:eastAsia="Times New Roman" w:hAnsi="Times New Roman"/>
                <w:b/>
                <w:sz w:val="24"/>
                <w:szCs w:val="24"/>
                <w:lang w:eastAsia="lv-LV"/>
              </w:rPr>
              <w:t xml:space="preserve"> SKUS</w:t>
            </w:r>
            <w:r w:rsidR="00C8489D">
              <w:rPr>
                <w:rFonts w:ascii="Times New Roman" w:eastAsia="Times New Roman" w:hAnsi="Times New Roman"/>
                <w:b/>
                <w:sz w:val="24"/>
                <w:szCs w:val="24"/>
                <w:lang w:eastAsia="lv-LV"/>
              </w:rPr>
              <w:t xml:space="preserve"> 600/18 - VV</w:t>
            </w:r>
          </w:p>
          <w:p w:rsidR="00937BC1" w:rsidRDefault="00937BC1">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tc>
      </w:tr>
      <w:tr w:rsidR="00937BC1" w:rsidTr="00937BC1">
        <w:trPr>
          <w:trHeight w:val="453"/>
        </w:trPr>
        <w:tc>
          <w:tcPr>
            <w:tcW w:w="9759" w:type="dxa"/>
            <w:tcBorders>
              <w:top w:val="nil"/>
              <w:left w:val="nil"/>
              <w:bottom w:val="nil"/>
              <w:right w:val="nil"/>
            </w:tcBorders>
          </w:tcPr>
          <w:p w:rsidR="00937BC1" w:rsidRDefault="00937BC1">
            <w:pPr>
              <w:spacing w:after="0" w:line="240" w:lineRule="auto"/>
              <w:ind w:right="49"/>
              <w:jc w:val="center"/>
              <w:rPr>
                <w:rFonts w:ascii="Times New Roman" w:eastAsia="Times New Roman" w:hAnsi="Times New Roman"/>
                <w:sz w:val="24"/>
                <w:szCs w:val="24"/>
                <w:lang w:eastAsia="lv-LV"/>
              </w:rPr>
            </w:pPr>
          </w:p>
          <w:p w:rsidR="00937BC1" w:rsidRDefault="00937BC1">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2018.gada </w:t>
            </w:r>
            <w:r w:rsidR="00C8489D">
              <w:rPr>
                <w:rFonts w:ascii="Times New Roman" w:eastAsia="Times New Roman" w:hAnsi="Times New Roman"/>
                <w:sz w:val="24"/>
                <w:szCs w:val="24"/>
                <w:lang w:eastAsia="lv-LV"/>
              </w:rPr>
              <w:t>19.decembrī</w:t>
            </w:r>
          </w:p>
          <w:p w:rsidR="00937BC1" w:rsidRDefault="00937BC1">
            <w:pPr>
              <w:shd w:val="clear" w:color="auto" w:fill="FFFFFF"/>
              <w:spacing w:after="0" w:line="240" w:lineRule="auto"/>
              <w:ind w:right="49"/>
              <w:jc w:val="center"/>
              <w:rPr>
                <w:rFonts w:ascii="Times New Roman" w:hAnsi="Times New Roman"/>
                <w:b/>
                <w:i/>
                <w:sz w:val="24"/>
                <w:szCs w:val="24"/>
                <w:lang w:eastAsia="lv-LV"/>
              </w:rPr>
            </w:pPr>
          </w:p>
        </w:tc>
      </w:tr>
    </w:tbl>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Pr="00B74DDF">
        <w:rPr>
          <w:rFonts w:ascii="Times New Roman" w:eastAsia="Times New Roman" w:hAnsi="Times New Roman"/>
          <w:sz w:val="24"/>
          <w:szCs w:val="24"/>
        </w:rPr>
        <w:t xml:space="preserve"> </w:t>
      </w:r>
      <w:r>
        <w:rPr>
          <w:rFonts w:ascii="Times New Roman" w:eastAsia="Times New Roman" w:hAnsi="Times New Roman"/>
          <w:sz w:val="24"/>
          <w:szCs w:val="24"/>
        </w:rPr>
        <w:t xml:space="preserve">un 29.08.2018. valdes lēmumu Nr.81 (protokols Nr.30 p.1) pārstāv valdes locekle Ilze Kreicberga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937BC1" w:rsidRDefault="00CE527F" w:rsidP="00937BC1">
      <w:pPr>
        <w:spacing w:after="0" w:line="240" w:lineRule="auto"/>
        <w:ind w:right="-766"/>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UAB</w:t>
      </w:r>
      <w:r w:rsidR="00937BC1">
        <w:rPr>
          <w:rFonts w:ascii="Times New Roman" w:eastAsia="Times New Roman" w:hAnsi="Times New Roman"/>
          <w:b/>
          <w:bCs/>
          <w:sz w:val="24"/>
          <w:szCs w:val="24"/>
        </w:rPr>
        <w:t xml:space="preserve"> </w:t>
      </w:r>
      <w:r>
        <w:rPr>
          <w:rFonts w:ascii="Times New Roman" w:eastAsia="Times New Roman" w:hAnsi="Times New Roman"/>
          <w:b/>
          <w:bCs/>
          <w:sz w:val="24"/>
          <w:szCs w:val="24"/>
        </w:rPr>
        <w:t>“</w:t>
      </w:r>
      <w:proofErr w:type="spellStart"/>
      <w:r>
        <w:rPr>
          <w:rFonts w:ascii="Times New Roman" w:eastAsia="Times New Roman" w:hAnsi="Times New Roman"/>
          <w:b/>
          <w:bCs/>
          <w:sz w:val="24"/>
          <w:szCs w:val="24"/>
        </w:rPr>
        <w:t>Slaugivita</w:t>
      </w:r>
      <w:proofErr w:type="spellEnd"/>
      <w:r w:rsidR="00937BC1" w:rsidRPr="00937BC1">
        <w:rPr>
          <w:rFonts w:ascii="Times New Roman" w:eastAsia="Times New Roman" w:hAnsi="Times New Roman"/>
          <w:b/>
          <w:bCs/>
          <w:sz w:val="24"/>
          <w:szCs w:val="24"/>
        </w:rPr>
        <w:t>”</w:t>
      </w:r>
      <w:r w:rsidR="00937BC1" w:rsidRPr="00937BC1">
        <w:rPr>
          <w:rFonts w:ascii="Times New Roman" w:eastAsia="Times New Roman" w:hAnsi="Times New Roman"/>
          <w:b/>
          <w:sz w:val="24"/>
          <w:szCs w:val="24"/>
        </w:rPr>
        <w:t>,</w:t>
      </w:r>
      <w:r w:rsidR="00937BC1">
        <w:rPr>
          <w:rFonts w:ascii="Times New Roman" w:eastAsia="Times New Roman" w:hAnsi="Times New Roman"/>
          <w:sz w:val="24"/>
          <w:szCs w:val="24"/>
        </w:rPr>
        <w:t xml:space="preserve"> reģistrācijas Nr</w:t>
      </w:r>
      <w:bookmarkEnd w:id="0"/>
      <w:r w:rsidR="004E5AE4">
        <w:rPr>
          <w:rFonts w:ascii="Times New Roman" w:eastAsia="Times New Roman" w:hAnsi="Times New Roman"/>
          <w:sz w:val="24"/>
          <w:szCs w:val="24"/>
        </w:rPr>
        <w:t>.</w:t>
      </w:r>
      <w:r w:rsidR="00937BC1">
        <w:rPr>
          <w:rFonts w:ascii="Times New Roman" w:eastAsia="Times New Roman" w:hAnsi="Times New Roman"/>
          <w:sz w:val="24"/>
          <w:szCs w:val="24"/>
        </w:rPr>
        <w:t xml:space="preserve"> </w:t>
      </w:r>
      <w:r w:rsidR="004E5AE4" w:rsidRPr="004E5AE4">
        <w:rPr>
          <w:rFonts w:ascii="Times New Roman" w:eastAsia="Times New Roman" w:hAnsi="Times New Roman"/>
          <w:sz w:val="24"/>
          <w:szCs w:val="24"/>
        </w:rPr>
        <w:t>145440368, tās pilnvarotās personas Sintijas Doniņas personā, kura rīkojas saskaņā ar 2016. gada 1. jūlija pilnvaru</w:t>
      </w:r>
      <w:r w:rsidR="004E5AE4" w:rsidRPr="00861E2C">
        <w:rPr>
          <w:rFonts w:ascii="Times New Roman" w:eastAsia="Times New Roman" w:hAnsi="Times New Roman"/>
          <w:szCs w:val="24"/>
        </w:rPr>
        <w:t xml:space="preserve"> </w:t>
      </w:r>
      <w:r w:rsidR="00937BC1">
        <w:rPr>
          <w:rFonts w:ascii="Times New Roman" w:eastAsia="Times New Roman" w:hAnsi="Times New Roman"/>
          <w:sz w:val="24"/>
          <w:szCs w:val="24"/>
        </w:rPr>
        <w:t xml:space="preserve">(turpmāk - </w:t>
      </w:r>
      <w:r w:rsidR="00937BC1">
        <w:rPr>
          <w:rFonts w:ascii="Times New Roman" w:eastAsia="Times New Roman" w:hAnsi="Times New Roman"/>
          <w:b/>
          <w:sz w:val="24"/>
          <w:szCs w:val="24"/>
        </w:rPr>
        <w:t>Piegādātāji</w:t>
      </w:r>
      <w:r w:rsidR="00937BC1">
        <w:rPr>
          <w:rFonts w:ascii="Times New Roman" w:eastAsia="Times New Roman" w:hAnsi="Times New Roman"/>
          <w:sz w:val="24"/>
          <w:szCs w:val="24"/>
        </w:rPr>
        <w:t xml:space="preserve">) no otras puses (visi kopā Puses un katrs atsevišķi - Puse), </w:t>
      </w:r>
    </w:p>
    <w:p w:rsidR="00937BC1" w:rsidRDefault="00937BC1" w:rsidP="00937BC1">
      <w:pPr>
        <w:spacing w:after="0" w:line="240" w:lineRule="auto"/>
        <w:ind w:right="-766"/>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Nr. PSKUS 2018/167) rezultātiem un, saskaņā ar katra Piegādātāja iesniegto piedāvājumu, noslēdz šādu vispārīgo vienošanos (turpmāk – Vienošanās):</w:t>
      </w:r>
    </w:p>
    <w:p w:rsidR="00937BC1" w:rsidRDefault="00937BC1" w:rsidP="00937BC1">
      <w:pPr>
        <w:spacing w:after="0" w:line="240" w:lineRule="auto"/>
        <w:ind w:right="-766"/>
        <w:jc w:val="both"/>
        <w:rPr>
          <w:rFonts w:ascii="Times New Roman" w:eastAsia="Times New Roman" w:hAnsi="Times New Roman"/>
          <w:b/>
          <w:sz w:val="24"/>
          <w:szCs w:val="24"/>
        </w:rPr>
      </w:pPr>
    </w:p>
    <w:p w:rsidR="00937BC1" w:rsidRDefault="00937BC1" w:rsidP="00937BC1">
      <w:pPr>
        <w:numPr>
          <w:ilvl w:val="0"/>
          <w:numId w:val="1"/>
        </w:numPr>
        <w:spacing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2018/167), tehniskajā specifikācijā paredzētajām piegādēm.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lasāma kopā ar Vispārīgās vienošanās pielikumiem.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937BC1" w:rsidRDefault="00937BC1" w:rsidP="00937BC1">
      <w:pPr>
        <w:spacing w:after="0" w:line="240" w:lineRule="auto"/>
        <w:ind w:left="720"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summa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 xml:space="preserve">Vienošanās maksimālā summa ir 4000,00 EUR (četri tūkstoši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937BC1" w:rsidRDefault="00937BC1" w:rsidP="00937BC1">
      <w:pPr>
        <w:numPr>
          <w:ilvl w:val="1"/>
          <w:numId w:val="1"/>
        </w:numPr>
        <w:spacing w:after="0" w:line="240" w:lineRule="auto"/>
        <w:ind w:right="-766"/>
        <w:jc w:val="both"/>
        <w:rPr>
          <w:rFonts w:ascii="Times New Roman" w:hAnsi="Times New Roman"/>
          <w:sz w:val="24"/>
          <w:szCs w:val="24"/>
          <w:lang w:val="x-none" w:eastAsia="x-none"/>
        </w:rPr>
      </w:pPr>
      <w:r>
        <w:rPr>
          <w:rFonts w:ascii="Times New Roman" w:hAnsi="Times New Roman"/>
          <w:sz w:val="24"/>
          <w:szCs w:val="24"/>
          <w:lang w:val="x-none" w:eastAsia="x-none"/>
        </w:rPr>
        <w:t xml:space="preserve">Pircējs ir tiesīgs papildus iegādāties </w:t>
      </w:r>
      <w:r>
        <w:rPr>
          <w:rFonts w:ascii="Times New Roman" w:hAnsi="Times New Roman"/>
          <w:sz w:val="24"/>
          <w:szCs w:val="24"/>
          <w:lang w:eastAsia="x-none"/>
        </w:rPr>
        <w:t xml:space="preserve">Līguma </w:t>
      </w:r>
      <w:r>
        <w:rPr>
          <w:rFonts w:ascii="Times New Roman" w:hAnsi="Times New Roman"/>
          <w:sz w:val="24"/>
          <w:szCs w:val="24"/>
          <w:lang w:val="x-none" w:eastAsia="x-none"/>
        </w:rPr>
        <w:t xml:space="preserve">2.2. punktā atrunātās preces, kas nav iekļautas 2. pielikumā, </w:t>
      </w:r>
      <w:r>
        <w:rPr>
          <w:rFonts w:ascii="Times New Roman" w:hAnsi="Times New Roman"/>
          <w:sz w:val="24"/>
          <w:szCs w:val="24"/>
          <w:lang w:eastAsia="x-none"/>
        </w:rPr>
        <w:t>Vienošanās kopējās summas ietvaros</w:t>
      </w:r>
      <w:r>
        <w:rPr>
          <w:rFonts w:ascii="Times New Roman" w:hAnsi="Times New Roman"/>
          <w:sz w:val="24"/>
          <w:szCs w:val="24"/>
          <w:lang w:val="x-none" w:eastAsia="x-none"/>
        </w:rPr>
        <w:t>.</w:t>
      </w:r>
    </w:p>
    <w:p w:rsidR="00937BC1" w:rsidRDefault="00937BC1" w:rsidP="00937BC1">
      <w:pPr>
        <w:numPr>
          <w:ilvl w:val="1"/>
          <w:numId w:val="1"/>
        </w:numPr>
        <w:spacing w:after="0" w:line="240" w:lineRule="auto"/>
        <w:ind w:right="-766"/>
        <w:jc w:val="both"/>
        <w:rPr>
          <w:rFonts w:ascii="Times New Roman" w:hAnsi="Times New Roman"/>
          <w:sz w:val="24"/>
          <w:szCs w:val="24"/>
        </w:rPr>
      </w:pPr>
      <w:r>
        <w:rPr>
          <w:rFonts w:ascii="Times New Roman" w:hAnsi="Times New Roman"/>
          <w:sz w:val="24"/>
          <w:szCs w:val="24"/>
        </w:rPr>
        <w:t xml:space="preserve"> Puses vienojas, ka Vienošanās kopējā summa var mainīties un Pasūtītājs var iepirkt Preces par Tehniskajā – finanšu piedāvājumā norādītajām cenām līdz </w:t>
      </w:r>
      <w:r>
        <w:rPr>
          <w:rFonts w:ascii="Times New Roman" w:hAnsi="Times New Roman"/>
          <w:bCs/>
          <w:sz w:val="24"/>
          <w:szCs w:val="24"/>
        </w:rPr>
        <w:t>10%</w:t>
      </w:r>
      <w:r>
        <w:rPr>
          <w:rFonts w:ascii="Times New Roman" w:hAnsi="Times New Roman"/>
          <w:sz w:val="24"/>
          <w:szCs w:val="24"/>
        </w:rPr>
        <w:t xml:space="preserve"> </w:t>
      </w:r>
      <w:r>
        <w:rPr>
          <w:rFonts w:ascii="Times New Roman" w:hAnsi="Times New Roman"/>
          <w:bCs/>
          <w:sz w:val="24"/>
          <w:szCs w:val="24"/>
        </w:rPr>
        <w:t xml:space="preserve">vairāk </w:t>
      </w:r>
      <w:r>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text" w:val="pretenziju"/>
          <w:attr w:name="id" w:val="-1"/>
          <w:attr w:name="baseform" w:val="pretenzij|a"/>
        </w:smartTagPr>
        <w:r>
          <w:rPr>
            <w:rFonts w:ascii="Times New Roman" w:hAnsi="Times New Roman"/>
            <w:sz w:val="24"/>
            <w:szCs w:val="24"/>
          </w:rPr>
          <w:t>pretenziju</w:t>
        </w:r>
      </w:smartTag>
      <w:r>
        <w:rPr>
          <w:rFonts w:ascii="Times New Roman" w:hAnsi="Times New Roman"/>
          <w:sz w:val="24"/>
          <w:szCs w:val="24"/>
        </w:rPr>
        <w:t xml:space="preserve"> par šādām izmaiņām nebūs. Šādas Vienošanās kopējās summas izmaiņas Puses </w:t>
      </w:r>
      <w:r>
        <w:rPr>
          <w:rFonts w:ascii="Times New Roman" w:hAnsi="Times New Roman"/>
          <w:bCs/>
          <w:sz w:val="24"/>
          <w:szCs w:val="24"/>
        </w:rPr>
        <w:t>veic parakstot attiecīgu vienošanās protokolu</w:t>
      </w:r>
      <w:r>
        <w:rPr>
          <w:rFonts w:ascii="Times New Roman" w:hAnsi="Times New Roman"/>
          <w:sz w:val="24"/>
          <w:szCs w:val="24"/>
        </w:rPr>
        <w:t xml:space="preserve">. </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color w:val="212121"/>
          <w:sz w:val="24"/>
          <w:szCs w:val="24"/>
        </w:rPr>
        <w:lastRenderedPageBreak/>
        <w:t xml:space="preserve">Ja ražotājs Vienošanās darbības laikā veic noteiktas izmaiņas un Piegādātājs </w:t>
      </w:r>
      <w:r w:rsidR="007D6D5C">
        <w:rPr>
          <w:rFonts w:ascii="Times New Roman" w:eastAsia="Times New Roman" w:hAnsi="Times New Roman"/>
          <w:color w:val="212121"/>
          <w:sz w:val="24"/>
          <w:szCs w:val="24"/>
        </w:rPr>
        <w:t>nespēj vairs piegādāt Līguma 1</w:t>
      </w:r>
      <w:r>
        <w:rPr>
          <w:rFonts w:ascii="Times New Roman" w:eastAsia="Times New Roman" w:hAnsi="Times New Roman"/>
          <w:color w:val="212121"/>
          <w:sz w:val="24"/>
          <w:szCs w:val="24"/>
        </w:rPr>
        <w:t xml:space="preserve">.pielikumā noteikto preci, bet Piegādātājs var nodrošināt </w:t>
      </w:r>
      <w:r w:rsidR="007D6D5C">
        <w:rPr>
          <w:rFonts w:ascii="Times New Roman" w:eastAsia="Times New Roman" w:hAnsi="Times New Roman"/>
          <w:color w:val="212121"/>
          <w:sz w:val="24"/>
          <w:szCs w:val="24"/>
        </w:rPr>
        <w:t>1</w:t>
      </w:r>
      <w:r>
        <w:rPr>
          <w:rFonts w:ascii="Times New Roman" w:eastAsia="Times New Roman" w:hAnsi="Times New Roman"/>
          <w:color w:val="212121"/>
          <w:sz w:val="24"/>
          <w:szCs w:val="24"/>
        </w:rPr>
        <w:t>.pielikumam atbilstošas ekv</w:t>
      </w:r>
      <w:r w:rsidR="007D6D5C">
        <w:rPr>
          <w:rFonts w:ascii="Times New Roman" w:eastAsia="Times New Roman" w:hAnsi="Times New Roman"/>
          <w:color w:val="212121"/>
          <w:sz w:val="24"/>
          <w:szCs w:val="24"/>
        </w:rPr>
        <w:t>ivalentas Preces piegādi par Līguma 1</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Vienošanās darbības laiks un spēkā esamība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Vienošanās stājas spēkā tās abpusējas parakstīšanas brīdī un ir spēkā līdz īsākajam no šādiem termiņiem:</w:t>
      </w:r>
    </w:p>
    <w:p w:rsidR="00937BC1" w:rsidRDefault="00937BC1" w:rsidP="00937BC1">
      <w:pPr>
        <w:numPr>
          <w:ilvl w:val="2"/>
          <w:numId w:val="1"/>
        </w:numPr>
        <w:tabs>
          <w:tab w:val="num" w:pos="1430"/>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937BC1" w:rsidRDefault="00937BC1" w:rsidP="00937BC1">
      <w:pPr>
        <w:numPr>
          <w:ilvl w:val="2"/>
          <w:numId w:val="1"/>
        </w:numPr>
        <w:tabs>
          <w:tab w:val="num" w:pos="1430"/>
        </w:tabs>
        <w:spacing w:after="0" w:line="240" w:lineRule="auto"/>
        <w:ind w:left="1276" w:right="-766" w:hanging="709"/>
        <w:jc w:val="both"/>
        <w:rPr>
          <w:b/>
          <w:bCs/>
        </w:rPr>
      </w:pPr>
      <w:r>
        <w:rPr>
          <w:rFonts w:ascii="Times New Roman" w:eastAsia="Times New Roman" w:hAnsi="Times New Roman"/>
          <w:sz w:val="24"/>
          <w:szCs w:val="24"/>
        </w:rPr>
        <w:t>12 (divpadsmit) mēneši no Vienošanās spēkā stāšanās dienas.</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937BC1" w:rsidRDefault="00937BC1" w:rsidP="00937BC1">
      <w:pPr>
        <w:numPr>
          <w:ilvl w:val="1"/>
          <w:numId w:val="1"/>
        </w:numPr>
        <w:spacing w:after="0" w:line="240" w:lineRule="auto"/>
        <w:ind w:right="-766"/>
        <w:jc w:val="both"/>
        <w:rPr>
          <w:bCs/>
        </w:rPr>
      </w:pPr>
      <w:r>
        <w:rPr>
          <w:rFonts w:ascii="Times New Roman" w:hAnsi="Times New Roman"/>
          <w:sz w:val="24"/>
          <w:szCs w:val="24"/>
        </w:rPr>
        <w:t>Piegādātājs apņemas veikt Preču piegādi Pasūtītājam saskaņā ar Vienošanās un Līguma noteikumiem.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un Līgumu grozījumi</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937BC1" w:rsidRDefault="00937BC1" w:rsidP="00937BC1">
      <w:pPr>
        <w:spacing w:after="0" w:line="240" w:lineRule="auto"/>
        <w:ind w:left="142"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Nepārvarama vara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Pr>
          <w:rFonts w:ascii="Times New Roman" w:eastAsia="Times New Roman" w:hAnsi="Times New Roman"/>
          <w:sz w:val="24"/>
          <w:szCs w:val="24"/>
        </w:rPr>
        <w:lastRenderedPageBreak/>
        <w:t>institūciju, kā arī pašvaldību institūciju pieņemtie normatīvie akti un norādījumi un citi apstākļi, kas neiekļaujas Pušu iespējamās kontroles robežās u.c.).</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Strīdu izskatīšanas kārtība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Citi noteikumi</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w:t>
      </w:r>
      <w:r w:rsidR="008B07EC">
        <w:rPr>
          <w:rFonts w:ascii="Times New Roman" w:eastAsia="Times New Roman" w:hAnsi="Times New Roman"/>
          <w:sz w:val="24"/>
          <w:szCs w:val="24"/>
        </w:rPr>
        <w:t>uz 12 (divpadsmit</w:t>
      </w:r>
      <w:r w:rsidRPr="008B46C4">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937BC1" w:rsidRDefault="00937BC1" w:rsidP="00937BC1">
      <w:pPr>
        <w:spacing w:after="0" w:line="240" w:lineRule="auto"/>
        <w:ind w:right="-766"/>
        <w:jc w:val="both"/>
        <w:rPr>
          <w:rFonts w:ascii="Times New Roman" w:eastAsia="Times New Roman" w:hAnsi="Times New Roman"/>
          <w:bCs/>
          <w:sz w:val="24"/>
          <w:szCs w:val="24"/>
        </w:rPr>
      </w:pPr>
    </w:p>
    <w:p w:rsidR="0085038B" w:rsidRDefault="0085038B"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16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937BC1" w:rsidRDefault="00937BC1" w:rsidP="00937BC1">
      <w:pPr>
        <w:spacing w:after="160" w:line="256" w:lineRule="auto"/>
        <w:ind w:left="720" w:right="-766"/>
        <w:jc w:val="both"/>
        <w:rPr>
          <w:rFonts w:ascii="Times New Roman" w:eastAsia="Times New Roman" w:hAnsi="Times New Roman"/>
          <w:b/>
          <w:bCs/>
          <w:sz w:val="24"/>
          <w:szCs w:val="24"/>
        </w:rPr>
      </w:pPr>
    </w:p>
    <w:tbl>
      <w:tblPr>
        <w:tblW w:w="9796" w:type="dxa"/>
        <w:tblInd w:w="-106" w:type="dxa"/>
        <w:tblLook w:val="01E0" w:firstRow="1" w:lastRow="1" w:firstColumn="1" w:lastColumn="1" w:noHBand="0" w:noVBand="0"/>
      </w:tblPr>
      <w:tblGrid>
        <w:gridCol w:w="5493"/>
        <w:gridCol w:w="4303"/>
      </w:tblGrid>
      <w:tr w:rsidR="00B42A8C" w:rsidRPr="00F31611" w:rsidTr="00557E79">
        <w:trPr>
          <w:trHeight w:val="103"/>
        </w:trPr>
        <w:tc>
          <w:tcPr>
            <w:tcW w:w="549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F31611" w:rsidRDefault="00B42A8C"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B42A8C" w:rsidRPr="00F31611" w:rsidRDefault="00B42A8C"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B42A8C"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391A9B" w:rsidRDefault="00B42A8C" w:rsidP="00557E79">
            <w:pPr>
              <w:spacing w:after="0" w:line="240" w:lineRule="auto"/>
              <w:ind w:right="33"/>
              <w:jc w:val="both"/>
              <w:rPr>
                <w:rFonts w:ascii="Times New Roman" w:eastAsia="Times New Roman" w:hAnsi="Times New Roman"/>
                <w:b/>
                <w:bCs/>
                <w:sz w:val="24"/>
                <w:szCs w:val="24"/>
              </w:rPr>
            </w:pPr>
            <w:r w:rsidRPr="00391A9B">
              <w:rPr>
                <w:rFonts w:ascii="Times New Roman" w:eastAsia="Times New Roman" w:hAnsi="Times New Roman"/>
                <w:b/>
                <w:bCs/>
                <w:sz w:val="24"/>
                <w:szCs w:val="24"/>
                <w:u w:val="single"/>
              </w:rPr>
              <w:t>Piegādātājs:</w:t>
            </w:r>
          </w:p>
          <w:p w:rsidR="00391A9B" w:rsidRPr="00391A9B" w:rsidRDefault="00391A9B" w:rsidP="00391A9B">
            <w:pPr>
              <w:spacing w:after="0" w:line="240" w:lineRule="auto"/>
              <w:ind w:right="49"/>
              <w:jc w:val="both"/>
              <w:rPr>
                <w:rFonts w:ascii="Times New Roman" w:eastAsia="Times New Roman" w:hAnsi="Times New Roman"/>
                <w:b/>
                <w:sz w:val="24"/>
                <w:szCs w:val="24"/>
              </w:rPr>
            </w:pPr>
            <w:r w:rsidRPr="00391A9B">
              <w:rPr>
                <w:rFonts w:ascii="Times New Roman" w:eastAsia="Times New Roman" w:hAnsi="Times New Roman"/>
                <w:b/>
                <w:sz w:val="24"/>
                <w:szCs w:val="24"/>
              </w:rPr>
              <w:t>UAB “</w:t>
            </w:r>
            <w:proofErr w:type="spellStart"/>
            <w:r w:rsidRPr="00391A9B">
              <w:rPr>
                <w:rFonts w:ascii="Times New Roman" w:eastAsia="Times New Roman" w:hAnsi="Times New Roman"/>
                <w:b/>
                <w:sz w:val="24"/>
                <w:szCs w:val="24"/>
              </w:rPr>
              <w:t>Slaugivita</w:t>
            </w:r>
            <w:proofErr w:type="spellEnd"/>
            <w:r w:rsidRPr="00391A9B">
              <w:rPr>
                <w:rFonts w:ascii="Times New Roman" w:eastAsia="Times New Roman" w:hAnsi="Times New Roman"/>
                <w:b/>
                <w:sz w:val="24"/>
                <w:szCs w:val="24"/>
              </w:rPr>
              <w:t>”</w:t>
            </w:r>
          </w:p>
          <w:p w:rsidR="00391A9B" w:rsidRPr="00391A9B" w:rsidRDefault="00391A9B" w:rsidP="00391A9B">
            <w:pPr>
              <w:spacing w:after="0" w:line="240" w:lineRule="auto"/>
              <w:ind w:right="49"/>
              <w:jc w:val="both"/>
              <w:rPr>
                <w:rFonts w:ascii="Times New Roman" w:eastAsia="Times New Roman" w:hAnsi="Times New Roman"/>
                <w:sz w:val="24"/>
                <w:szCs w:val="24"/>
              </w:rPr>
            </w:pPr>
            <w:proofErr w:type="spellStart"/>
            <w:r w:rsidRPr="00391A9B">
              <w:rPr>
                <w:rFonts w:ascii="Times New Roman" w:eastAsia="Times New Roman" w:hAnsi="Times New Roman"/>
                <w:sz w:val="24"/>
                <w:szCs w:val="24"/>
              </w:rPr>
              <w:t>Reģ</w:t>
            </w:r>
            <w:proofErr w:type="spellEnd"/>
            <w:r w:rsidRPr="00391A9B">
              <w:rPr>
                <w:rFonts w:ascii="Times New Roman" w:eastAsia="Times New Roman" w:hAnsi="Times New Roman"/>
                <w:sz w:val="24"/>
                <w:szCs w:val="24"/>
              </w:rPr>
              <w:t>. Nr. 145440368</w:t>
            </w:r>
          </w:p>
          <w:p w:rsidR="00391A9B" w:rsidRPr="00391A9B" w:rsidRDefault="00391A9B" w:rsidP="00391A9B">
            <w:pPr>
              <w:spacing w:after="0" w:line="240" w:lineRule="auto"/>
              <w:ind w:right="49"/>
              <w:jc w:val="both"/>
              <w:rPr>
                <w:rFonts w:ascii="Times New Roman" w:eastAsia="Times New Roman" w:hAnsi="Times New Roman"/>
                <w:sz w:val="24"/>
                <w:szCs w:val="24"/>
              </w:rPr>
            </w:pPr>
            <w:proofErr w:type="spellStart"/>
            <w:r w:rsidRPr="00391A9B">
              <w:rPr>
                <w:rFonts w:ascii="Times New Roman" w:eastAsia="Times New Roman" w:hAnsi="Times New Roman"/>
                <w:sz w:val="24"/>
                <w:szCs w:val="24"/>
              </w:rPr>
              <w:t>Dubijos</w:t>
            </w:r>
            <w:proofErr w:type="spellEnd"/>
            <w:r w:rsidRPr="00391A9B">
              <w:rPr>
                <w:rFonts w:ascii="Times New Roman" w:eastAsia="Times New Roman" w:hAnsi="Times New Roman"/>
                <w:sz w:val="24"/>
                <w:szCs w:val="24"/>
              </w:rPr>
              <w:t xml:space="preserve"> g. 16, LT-77172, Šauļi, Lietuva</w:t>
            </w:r>
          </w:p>
          <w:p w:rsidR="00391A9B" w:rsidRPr="00391A9B" w:rsidRDefault="00391A9B" w:rsidP="00391A9B">
            <w:pPr>
              <w:spacing w:after="0" w:line="240" w:lineRule="auto"/>
              <w:ind w:right="49"/>
              <w:jc w:val="both"/>
              <w:rPr>
                <w:rFonts w:ascii="Times New Roman" w:eastAsia="Times New Roman" w:hAnsi="Times New Roman"/>
                <w:sz w:val="24"/>
                <w:szCs w:val="24"/>
              </w:rPr>
            </w:pPr>
            <w:r w:rsidRPr="00391A9B">
              <w:rPr>
                <w:rFonts w:ascii="Times New Roman" w:eastAsia="Times New Roman" w:hAnsi="Times New Roman"/>
                <w:sz w:val="24"/>
                <w:szCs w:val="24"/>
              </w:rPr>
              <w:t xml:space="preserve">Konta Nr. </w:t>
            </w:r>
            <w:r w:rsidR="00C8489D">
              <w:rPr>
                <w:rFonts w:ascii="Times New Roman" w:eastAsia="Times New Roman" w:hAnsi="Times New Roman"/>
                <w:sz w:val="24"/>
                <w:szCs w:val="24"/>
              </w:rPr>
              <w:t>______________</w:t>
            </w:r>
          </w:p>
          <w:p w:rsidR="00391A9B" w:rsidRPr="00391A9B" w:rsidRDefault="00391A9B" w:rsidP="00391A9B">
            <w:pPr>
              <w:spacing w:after="0" w:line="240" w:lineRule="auto"/>
              <w:ind w:right="49"/>
              <w:jc w:val="both"/>
              <w:rPr>
                <w:rFonts w:ascii="Times New Roman" w:eastAsia="Times New Roman" w:hAnsi="Times New Roman"/>
                <w:sz w:val="24"/>
                <w:szCs w:val="24"/>
              </w:rPr>
            </w:pPr>
            <w:r w:rsidRPr="00391A9B">
              <w:rPr>
                <w:rFonts w:ascii="Times New Roman" w:eastAsia="Times New Roman" w:hAnsi="Times New Roman"/>
                <w:sz w:val="24"/>
                <w:szCs w:val="24"/>
              </w:rPr>
              <w:t xml:space="preserve">Banka: </w:t>
            </w:r>
            <w:r w:rsidR="00C8489D">
              <w:rPr>
                <w:rFonts w:ascii="Times New Roman" w:eastAsia="Times New Roman" w:hAnsi="Times New Roman"/>
                <w:sz w:val="24"/>
                <w:szCs w:val="24"/>
              </w:rPr>
              <w:t>_______________</w:t>
            </w:r>
          </w:p>
          <w:p w:rsidR="00391A9B" w:rsidRPr="00391A9B" w:rsidRDefault="00391A9B" w:rsidP="00391A9B">
            <w:pPr>
              <w:spacing w:after="0" w:line="240" w:lineRule="auto"/>
              <w:ind w:right="49"/>
              <w:jc w:val="both"/>
              <w:rPr>
                <w:rFonts w:ascii="Times New Roman" w:eastAsia="Times New Roman" w:hAnsi="Times New Roman"/>
                <w:sz w:val="24"/>
                <w:szCs w:val="24"/>
              </w:rPr>
            </w:pPr>
            <w:r w:rsidRPr="00391A9B">
              <w:rPr>
                <w:rFonts w:ascii="Times New Roman" w:eastAsia="Times New Roman" w:hAnsi="Times New Roman"/>
                <w:sz w:val="24"/>
                <w:szCs w:val="24"/>
              </w:rPr>
              <w:t xml:space="preserve">Kods: </w:t>
            </w:r>
            <w:r w:rsidR="00C8489D">
              <w:rPr>
                <w:rFonts w:ascii="Times New Roman" w:eastAsia="Times New Roman" w:hAnsi="Times New Roman"/>
                <w:sz w:val="24"/>
                <w:szCs w:val="24"/>
              </w:rPr>
              <w:t>________________</w:t>
            </w:r>
          </w:p>
          <w:p w:rsidR="00391A9B" w:rsidRPr="00391A9B" w:rsidRDefault="00391A9B" w:rsidP="00391A9B">
            <w:pPr>
              <w:spacing w:after="0" w:line="240" w:lineRule="auto"/>
              <w:ind w:right="49"/>
              <w:jc w:val="both"/>
              <w:rPr>
                <w:rFonts w:ascii="Times New Roman" w:eastAsia="Times New Roman" w:hAnsi="Times New Roman"/>
                <w:sz w:val="24"/>
                <w:szCs w:val="24"/>
              </w:rPr>
            </w:pPr>
          </w:p>
          <w:p w:rsidR="00391A9B" w:rsidRDefault="00391A9B" w:rsidP="00391A9B">
            <w:pPr>
              <w:spacing w:after="0" w:line="240" w:lineRule="auto"/>
              <w:ind w:right="49"/>
              <w:jc w:val="both"/>
              <w:rPr>
                <w:rFonts w:ascii="Times New Roman" w:eastAsia="Times New Roman" w:hAnsi="Times New Roman"/>
                <w:sz w:val="24"/>
                <w:szCs w:val="24"/>
              </w:rPr>
            </w:pPr>
          </w:p>
          <w:p w:rsidR="00391A9B" w:rsidRPr="00391A9B" w:rsidRDefault="00391A9B" w:rsidP="00391A9B">
            <w:pPr>
              <w:spacing w:after="0" w:line="240" w:lineRule="auto"/>
              <w:ind w:right="49"/>
              <w:jc w:val="both"/>
              <w:rPr>
                <w:rFonts w:ascii="Times New Roman" w:eastAsia="Times New Roman" w:hAnsi="Times New Roman"/>
                <w:sz w:val="24"/>
                <w:szCs w:val="24"/>
              </w:rPr>
            </w:pPr>
          </w:p>
          <w:p w:rsidR="00391A9B" w:rsidRPr="00391A9B" w:rsidRDefault="00391A9B" w:rsidP="00391A9B">
            <w:pPr>
              <w:spacing w:after="0" w:line="240" w:lineRule="auto"/>
              <w:ind w:right="49"/>
              <w:jc w:val="both"/>
              <w:rPr>
                <w:rFonts w:ascii="Times New Roman" w:eastAsia="Times New Roman" w:hAnsi="Times New Roman"/>
                <w:sz w:val="24"/>
                <w:szCs w:val="24"/>
              </w:rPr>
            </w:pPr>
            <w:r w:rsidRPr="00391A9B">
              <w:rPr>
                <w:rFonts w:ascii="Times New Roman" w:eastAsia="Times New Roman" w:hAnsi="Times New Roman"/>
                <w:sz w:val="24"/>
                <w:szCs w:val="24"/>
              </w:rPr>
              <w:t>____________________________</w:t>
            </w:r>
          </w:p>
          <w:p w:rsidR="00B42A8C" w:rsidRPr="00F31611" w:rsidRDefault="00391A9B" w:rsidP="00391A9B">
            <w:pPr>
              <w:spacing w:after="0" w:line="240" w:lineRule="auto"/>
              <w:ind w:right="33"/>
              <w:jc w:val="both"/>
              <w:rPr>
                <w:rFonts w:ascii="Times New Roman" w:eastAsia="Times New Roman" w:hAnsi="Times New Roman"/>
                <w:sz w:val="24"/>
                <w:szCs w:val="24"/>
              </w:rPr>
            </w:pPr>
            <w:r w:rsidRPr="00391A9B">
              <w:rPr>
                <w:rFonts w:ascii="Times New Roman" w:eastAsia="Times New Roman" w:hAnsi="Times New Roman"/>
                <w:sz w:val="24"/>
                <w:szCs w:val="24"/>
              </w:rPr>
              <w:t>P</w:t>
            </w:r>
            <w:r>
              <w:rPr>
                <w:rFonts w:ascii="Times New Roman" w:eastAsia="Times New Roman" w:hAnsi="Times New Roman"/>
                <w:sz w:val="24"/>
                <w:szCs w:val="24"/>
              </w:rPr>
              <w:t xml:space="preserve">ilnvarotā persona </w:t>
            </w:r>
            <w:proofErr w:type="spellStart"/>
            <w:r>
              <w:rPr>
                <w:rFonts w:ascii="Times New Roman" w:eastAsia="Times New Roman" w:hAnsi="Times New Roman"/>
                <w:sz w:val="24"/>
                <w:szCs w:val="24"/>
              </w:rPr>
              <w:t>S.</w:t>
            </w:r>
            <w:r w:rsidRPr="00391A9B">
              <w:rPr>
                <w:rFonts w:ascii="Times New Roman" w:eastAsia="Times New Roman" w:hAnsi="Times New Roman"/>
                <w:sz w:val="24"/>
                <w:szCs w:val="24"/>
              </w:rPr>
              <w:t>Doniņa</w:t>
            </w:r>
            <w:proofErr w:type="spellEnd"/>
            <w:r w:rsidR="00B42A8C" w:rsidRPr="00F31611">
              <w:rPr>
                <w:rFonts w:ascii="Times New Roman" w:eastAsia="Times New Roman" w:hAnsi="Times New Roman"/>
                <w:sz w:val="24"/>
                <w:szCs w:val="24"/>
              </w:rPr>
              <w:t xml:space="preserve"> </w:t>
            </w:r>
          </w:p>
        </w:tc>
      </w:tr>
    </w:tbl>
    <w:p w:rsidR="00B42A8C" w:rsidRDefault="00B42A8C" w:rsidP="00B42A8C">
      <w:pPr>
        <w:spacing w:after="160" w:line="256" w:lineRule="auto"/>
        <w:ind w:left="720" w:right="33"/>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7076C6">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2830"/>
        <w:gridCol w:w="5043"/>
      </w:tblGrid>
      <w:tr w:rsidR="007076C6" w:rsidRPr="006D3EF1" w:rsidTr="00557E79">
        <w:tc>
          <w:tcPr>
            <w:tcW w:w="1797"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Pr="006D3EF1"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3.daļa </w:t>
            </w:r>
          </w:p>
        </w:tc>
        <w:tc>
          <w:tcPr>
            <w:tcW w:w="3203" w:type="pct"/>
            <w:tcBorders>
              <w:top w:val="single" w:sz="4" w:space="0" w:color="auto"/>
              <w:left w:val="single" w:sz="4" w:space="0" w:color="auto"/>
              <w:bottom w:val="single" w:sz="4" w:space="0" w:color="auto"/>
              <w:right w:val="single" w:sz="4" w:space="0" w:color="auto"/>
            </w:tcBorders>
          </w:tcPr>
          <w:p w:rsidR="007076C6" w:rsidRPr="006D3EF1"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UAB</w:t>
            </w:r>
            <w:r w:rsidRPr="00BF52B0">
              <w:rPr>
                <w:rFonts w:ascii="Times New Roman" w:hAnsi="Times New Roman"/>
                <w:bCs/>
                <w:sz w:val="24"/>
                <w:szCs w:val="24"/>
              </w:rPr>
              <w:t xml:space="preserve"> “</w:t>
            </w:r>
            <w:proofErr w:type="spellStart"/>
            <w:r>
              <w:rPr>
                <w:rFonts w:ascii="Times New Roman" w:hAnsi="Times New Roman"/>
                <w:bCs/>
                <w:sz w:val="24"/>
                <w:szCs w:val="24"/>
              </w:rPr>
              <w:t>Slaugivita</w:t>
            </w:r>
            <w:proofErr w:type="spellEnd"/>
            <w:r w:rsidRPr="00BF52B0">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4.daļa </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w:t>
            </w:r>
            <w:proofErr w:type="spellStart"/>
            <w:r>
              <w:rPr>
                <w:rFonts w:ascii="Times New Roman" w:hAnsi="Times New Roman"/>
                <w:bCs/>
                <w:sz w:val="24"/>
                <w:szCs w:val="24"/>
              </w:rPr>
              <w:t>UniKon</w:t>
            </w:r>
            <w:proofErr w:type="spellEnd"/>
            <w:r>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 xml:space="preserve">SIA </w:t>
            </w:r>
            <w:r w:rsidRPr="00BF52B0">
              <w:rPr>
                <w:rFonts w:ascii="Times New Roman" w:hAnsi="Times New Roman"/>
                <w:bCs/>
                <w:sz w:val="24"/>
                <w:szCs w:val="24"/>
              </w:rPr>
              <w:t>“</w:t>
            </w:r>
            <w:proofErr w:type="spellStart"/>
            <w:r w:rsidR="00CB2F76">
              <w:rPr>
                <w:rFonts w:ascii="Times New Roman" w:hAnsi="Times New Roman"/>
                <w:bCs/>
                <w:sz w:val="24"/>
                <w:szCs w:val="24"/>
              </w:rPr>
              <w:t>Baltmedika</w:t>
            </w:r>
            <w:proofErr w:type="spellEnd"/>
            <w:r w:rsidRPr="00BF52B0">
              <w:rPr>
                <w:rFonts w:ascii="Times New Roman" w:hAnsi="Times New Roman"/>
                <w:bCs/>
                <w:sz w:val="24"/>
                <w:szCs w:val="24"/>
              </w:rPr>
              <w:t>”</w:t>
            </w:r>
          </w:p>
        </w:tc>
      </w:tr>
    </w:tbl>
    <w:p w:rsidR="007076C6" w:rsidRPr="006D3EF1" w:rsidRDefault="007076C6" w:rsidP="007076C6">
      <w:pPr>
        <w:ind w:right="-766"/>
        <w:rPr>
          <w:rFonts w:ascii="Times New Roman" w:eastAsiaTheme="minorEastAsia" w:hAnsi="Times New Roman"/>
          <w:sz w:val="24"/>
          <w:szCs w:val="24"/>
        </w:rPr>
      </w:pPr>
    </w:p>
    <w:p w:rsidR="007076C6" w:rsidRDefault="007076C6" w:rsidP="007076C6">
      <w:pPr>
        <w:spacing w:after="120"/>
        <w:ind w:right="-766"/>
        <w:jc w:val="center"/>
        <w:rPr>
          <w:rFonts w:eastAsiaTheme="minorEastAsia"/>
          <w:b/>
          <w:bCs/>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Vienošanās Nr. </w:t>
      </w:r>
      <w:r w:rsidR="00C8489D">
        <w:rPr>
          <w:rFonts w:ascii="Times New Roman" w:hAnsi="Times New Roman"/>
          <w:bCs/>
          <w:sz w:val="20"/>
          <w:szCs w:val="20"/>
        </w:rPr>
        <w:t>SKUS 600/18-VV</w:t>
      </w: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Piegādes līgums </w:t>
      </w:r>
      <w:proofErr w:type="spellStart"/>
      <w:r>
        <w:rPr>
          <w:rFonts w:ascii="Times New Roman" w:eastAsia="Times New Roman" w:hAnsi="Times New Roman"/>
          <w:b/>
          <w:bCs/>
          <w:sz w:val="24"/>
          <w:szCs w:val="24"/>
        </w:rPr>
        <w:t>Nr.</w:t>
      </w:r>
      <w:r w:rsidR="00C8489D">
        <w:rPr>
          <w:rFonts w:ascii="Times New Roman" w:eastAsia="Times New Roman" w:hAnsi="Times New Roman"/>
          <w:b/>
          <w:bCs/>
          <w:sz w:val="24"/>
          <w:szCs w:val="24"/>
        </w:rPr>
        <w:t>SKUS</w:t>
      </w:r>
      <w:proofErr w:type="spellEnd"/>
      <w:r w:rsidR="00C8489D">
        <w:rPr>
          <w:rFonts w:ascii="Times New Roman" w:eastAsia="Times New Roman" w:hAnsi="Times New Roman"/>
          <w:b/>
          <w:bCs/>
          <w:sz w:val="24"/>
          <w:szCs w:val="24"/>
        </w:rPr>
        <w:t xml:space="preserve"> 600/18 - S</w:t>
      </w: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937BC1" w:rsidRDefault="00937BC1" w:rsidP="00937BC1">
      <w:pPr>
        <w:spacing w:after="0" w:line="240" w:lineRule="auto"/>
        <w:ind w:right="-766"/>
        <w:jc w:val="both"/>
        <w:rPr>
          <w:rFonts w:ascii="Times New Roman" w:hAnsi="Times New Roman"/>
          <w:sz w:val="24"/>
          <w:szCs w:val="24"/>
        </w:rPr>
      </w:pP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C8489D">
        <w:rPr>
          <w:rFonts w:ascii="Times New Roman" w:hAnsi="Times New Roman"/>
          <w:sz w:val="24"/>
          <w:szCs w:val="24"/>
        </w:rPr>
        <w:t xml:space="preserve">          2018.gada 19.decembrī</w:t>
      </w: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reģ.Nr.40003457109, kuru</w:t>
      </w:r>
      <w:r>
        <w:rPr>
          <w:rFonts w:ascii="Times New Roman" w:hAnsi="Times New Roman"/>
          <w:sz w:val="24"/>
          <w:szCs w:val="24"/>
        </w:rPr>
        <w:t xml:space="preserve"> </w:t>
      </w:r>
      <w:r w:rsidR="0004578C">
        <w:rPr>
          <w:rFonts w:ascii="Times New Roman" w:eastAsia="Times New Roman" w:hAnsi="Times New Roman"/>
          <w:sz w:val="24"/>
          <w:szCs w:val="24"/>
        </w:rPr>
        <w:t>pamatojoties uz statūtiem</w:t>
      </w:r>
      <w:r w:rsidR="0004578C" w:rsidRPr="00B74DDF">
        <w:rPr>
          <w:rFonts w:ascii="Times New Roman" w:eastAsia="Times New Roman" w:hAnsi="Times New Roman"/>
          <w:sz w:val="24"/>
          <w:szCs w:val="24"/>
        </w:rPr>
        <w:t xml:space="preserve"> </w:t>
      </w:r>
      <w:r w:rsidR="0004578C">
        <w:rPr>
          <w:rFonts w:ascii="Times New Roman" w:eastAsia="Times New Roman" w:hAnsi="Times New Roman"/>
          <w:sz w:val="24"/>
          <w:szCs w:val="24"/>
        </w:rPr>
        <w:t>un 29.08.2018. valdes lēmumu Nr.81 (protokols Nr.30 p.1) pārstāv valdes locekle Ilze Kreicberga</w:t>
      </w:r>
      <w:r w:rsidR="0004578C">
        <w:rPr>
          <w:rFonts w:ascii="Times New Roman" w:hAnsi="Times New Roman"/>
          <w:snapToGrid w:val="0"/>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937BC1" w:rsidRDefault="00937BC1" w:rsidP="00937BC1">
      <w:pPr>
        <w:spacing w:after="0" w:line="240" w:lineRule="auto"/>
        <w:ind w:right="-766"/>
        <w:jc w:val="both"/>
        <w:rPr>
          <w:rFonts w:ascii="Times New Roman" w:eastAsia="Times New Roman" w:hAnsi="Times New Roman"/>
          <w:sz w:val="24"/>
          <w:szCs w:val="24"/>
        </w:rPr>
      </w:pPr>
      <w:r w:rsidRPr="004E5AE4">
        <w:rPr>
          <w:rFonts w:ascii="Times New Roman" w:eastAsia="Times New Roman" w:hAnsi="Times New Roman"/>
          <w:b/>
          <w:bCs/>
          <w:sz w:val="24"/>
          <w:szCs w:val="24"/>
        </w:rPr>
        <w:t xml:space="preserve">SIA </w:t>
      </w:r>
      <w:r w:rsidR="004E5AE4" w:rsidRPr="004E5AE4">
        <w:rPr>
          <w:rFonts w:ascii="Times New Roman" w:eastAsia="Times New Roman" w:hAnsi="Times New Roman"/>
          <w:b/>
          <w:bCs/>
          <w:sz w:val="24"/>
          <w:szCs w:val="24"/>
        </w:rPr>
        <w:t>“</w:t>
      </w:r>
      <w:proofErr w:type="spellStart"/>
      <w:r w:rsidR="004E5AE4" w:rsidRPr="004E5AE4">
        <w:rPr>
          <w:rFonts w:ascii="Times New Roman" w:eastAsia="Times New Roman" w:hAnsi="Times New Roman"/>
          <w:b/>
          <w:bCs/>
          <w:sz w:val="24"/>
          <w:szCs w:val="24"/>
        </w:rPr>
        <w:t>Slaugivita</w:t>
      </w:r>
      <w:proofErr w:type="spellEnd"/>
      <w:r w:rsidRPr="004E5AE4">
        <w:rPr>
          <w:rFonts w:ascii="Times New Roman" w:eastAsia="Times New Roman" w:hAnsi="Times New Roman"/>
          <w:b/>
          <w:bCs/>
          <w:sz w:val="24"/>
          <w:szCs w:val="24"/>
        </w:rPr>
        <w:t>”</w:t>
      </w:r>
      <w:r w:rsidRPr="004E5AE4">
        <w:rPr>
          <w:rFonts w:ascii="Times New Roman" w:eastAsia="Times New Roman" w:hAnsi="Times New Roman"/>
          <w:sz w:val="24"/>
          <w:szCs w:val="24"/>
        </w:rPr>
        <w:t>, reģistrācijas Nr</w:t>
      </w:r>
      <w:r w:rsidR="004E5AE4" w:rsidRPr="004E5AE4">
        <w:rPr>
          <w:rFonts w:ascii="Times New Roman" w:eastAsia="Times New Roman" w:hAnsi="Times New Roman"/>
          <w:sz w:val="24"/>
          <w:szCs w:val="24"/>
        </w:rPr>
        <w:t>.145440368, tās pilnvarotās personas Sintijas Doniņas personā, kura rīkojas saskaņā ar 2016. gada 1. jūlija pilnvaru</w:t>
      </w:r>
      <w:r>
        <w:rPr>
          <w:rFonts w:ascii="Times New Roman" w:eastAsia="Times New Roman" w:hAnsi="Times New Roman"/>
          <w:sz w:val="24"/>
          <w:szCs w:val="24"/>
        </w:rPr>
        <w:t xml:space="preserve"> (turpmāk - Piegādātājs) no otras puses (abi kopā – Puses), 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Nr. PSKUS 2018/167, rezultātiem un, saskaņā ar Piegādātāja iesniegto piedāvājumu, noslēdz šādu līgumu (turpmāk – Līgums):</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937BC1" w:rsidRDefault="00937BC1" w:rsidP="00937BC1">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w:t>
      </w:r>
      <w:r w:rsidR="003F0613">
        <w:rPr>
          <w:rFonts w:ascii="Times New Roman" w:eastAsia="Times New Roman" w:hAnsi="Times New Roman"/>
          <w:sz w:val="24"/>
          <w:szCs w:val="24"/>
        </w:rPr>
        <w:t>tājs piegādā Tualetes krēslus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715607">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937BC1" w:rsidRDefault="00937BC1" w:rsidP="00937BC1">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715607">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937BC1" w:rsidRDefault="00937BC1" w:rsidP="00937BC1">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937BC1" w:rsidRDefault="00937BC1" w:rsidP="00937BC1">
      <w:pPr>
        <w:numPr>
          <w:ilvl w:val="1"/>
          <w:numId w:val="2"/>
        </w:numPr>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 xml:space="preserve">. </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Samaksa uzskatāma par veiktu ar brīdi, kad Pasūtītājs veicis pārskaitījumu uz Piegādātāja norādīto norēķinu kontu.</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937BC1" w:rsidRDefault="00937BC1" w:rsidP="00937BC1">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12 (divpadsmit) mēneši no Līguma spēkā stāšanās dienas.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937BC1" w:rsidRDefault="00937BC1" w:rsidP="00937BC1">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un garantijas prasības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937BC1" w:rsidRDefault="00937BC1" w:rsidP="00937BC1">
      <w:pPr>
        <w:spacing w:after="0" w:line="240" w:lineRule="auto"/>
        <w:ind w:left="567" w:right="-766" w:hanging="567"/>
        <w:jc w:val="both"/>
        <w:rPr>
          <w:rFonts w:ascii="Times New Roman" w:eastAsia="Times New Roman" w:hAnsi="Times New Roman"/>
          <w:color w:val="FF0000"/>
          <w:sz w:val="24"/>
          <w:szCs w:val="24"/>
          <w:lang w:eastAsia="lv-LV"/>
        </w:rPr>
      </w:pPr>
      <w:r>
        <w:rPr>
          <w:rFonts w:ascii="Times New Roman" w:eastAsia="Times New Roman" w:hAnsi="Times New Roman"/>
          <w:sz w:val="24"/>
          <w:szCs w:val="24"/>
        </w:rPr>
        <w:t xml:space="preserve">4.2.  </w:t>
      </w:r>
      <w:r>
        <w:rPr>
          <w:rFonts w:ascii="Times New Roman" w:eastAsia="Times New Roman" w:hAnsi="Times New Roman"/>
          <w:sz w:val="24"/>
          <w:szCs w:val="24"/>
          <w:lang w:eastAsia="lv-LV"/>
        </w:rPr>
        <w:t xml:space="preserve">Piedāvātajām precēm garantijas termiņš ir </w:t>
      </w:r>
      <w:r w:rsidR="003F0613">
        <w:rPr>
          <w:rFonts w:ascii="Times New Roman" w:eastAsia="Times New Roman" w:hAnsi="Times New Roman"/>
          <w:sz w:val="24"/>
          <w:szCs w:val="24"/>
          <w:lang w:eastAsia="lv-LV"/>
        </w:rPr>
        <w:t>60 (sešdesmit</w:t>
      </w:r>
      <w:r w:rsidRPr="00715607">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mēneši no pavadzīmes rēķina abpusējas parakstīšanas brīža.</w:t>
      </w:r>
    </w:p>
    <w:p w:rsidR="00937BC1" w:rsidRDefault="00937BC1" w:rsidP="00937BC1">
      <w:pPr>
        <w:spacing w:after="0" w:line="240" w:lineRule="auto"/>
        <w:ind w:left="360" w:right="-766" w:hanging="360"/>
        <w:jc w:val="both"/>
        <w:rPr>
          <w:rFonts w:ascii="Times New Roman" w:eastAsia="Times New Roman" w:hAnsi="Times New Roman"/>
          <w:sz w:val="24"/>
          <w:szCs w:val="24"/>
        </w:rPr>
      </w:pPr>
      <w:r>
        <w:rPr>
          <w:rFonts w:ascii="Times New Roman" w:eastAsia="Times New Roman" w:hAnsi="Times New Roman"/>
          <w:sz w:val="24"/>
          <w:szCs w:val="24"/>
        </w:rPr>
        <w:t>4.3.   Preces garantija neattiecas uz Preces defektiem, kas radušies:</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4.3.1. ekspluatējot Preci neatbilstoši tās ekspluatācijas noteikumiem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4.3.2. pierādāmu Preces lietotāju nolaidības, nepareizas Preces lietošanas vai apzinātu bojājumu konstatēšanas gadījumā;</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4.3.3. neatļautu izmaiņu veikšanas, Pasūtītāja pašrocīgas remontēšanas, neapstiprinātu detaļu lietošanu vai Preces lietošanu tādā veidā, kas ir pretrunā ar Preces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4.3.4. nepārvaramas varas apstākļu rezultātā. </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4.4.   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4.5.   Pamatojoties uz Preces defektu aktu, Piegādātājam, ne vēlāk kā 10 (desmit) kalendāro dienu laikā no defektu akta saņemšanas dienas, jānomaina Prece ar jaunu Preci vai jāveic Preces remonts bez papildus samaksas.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Prece ir marķēta ar ražotāja firmas zīmi, tai ir CE marķējums (nav obligāti 1. un 2.daļā) un pievienota informācija par ekspluatācijas tehniskajiem rādītājiem latviešu valodā.</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37BC1" w:rsidRDefault="00937BC1" w:rsidP="00937BC1">
      <w:pPr>
        <w:spacing w:after="0" w:line="240" w:lineRule="auto"/>
        <w:ind w:left="567" w:right="-766" w:hanging="567"/>
        <w:jc w:val="both"/>
        <w:rPr>
          <w:rFonts w:ascii="Times New Roman" w:eastAsia="Times New Roman" w:hAnsi="Times New Roman"/>
          <w:sz w:val="24"/>
          <w:szCs w:val="24"/>
        </w:rPr>
      </w:pPr>
    </w:p>
    <w:p w:rsidR="00937BC1" w:rsidRDefault="00937BC1" w:rsidP="00937BC1">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937BC1" w:rsidRDefault="00937BC1" w:rsidP="00937BC1">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937BC1" w:rsidRDefault="00937BC1" w:rsidP="00937BC1">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pēc abpusējas pamatlīdzekļa Preces pieņemšanas – nodošanas akta parakstīšanas, sagatavot un nodot Pasūtītājam rēķinu;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937BC1" w:rsidRDefault="00937BC1" w:rsidP="00937BC1">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937BC1" w:rsidRDefault="00937BC1" w:rsidP="00937BC1">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937BC1" w:rsidRDefault="00937BC1" w:rsidP="00937BC1">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lastRenderedPageBreak/>
        <w:t>savlaicīgi veikt Preces pasūtīšanu, elektroniski nosūtot pieprasījumu uz Līgumā norādīto elektronisko pasta adresi. Pasūtījums skaitās veikts ar brīdi, kad Piegādātājam elektroniski nosūtīts pieprasījums;</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937BC1" w:rsidRDefault="00937BC1" w:rsidP="00937BC1">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937BC1" w:rsidRDefault="00937BC1" w:rsidP="00937BC1">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937BC1" w:rsidRDefault="00937BC1" w:rsidP="00937BC1">
      <w:pPr>
        <w:spacing w:after="0" w:line="240" w:lineRule="auto"/>
        <w:ind w:right="-766"/>
        <w:jc w:val="center"/>
        <w:rPr>
          <w:rFonts w:ascii="Times New Roman" w:hAnsi="Times New Roman"/>
          <w:b/>
          <w:bCs/>
          <w:sz w:val="24"/>
          <w:szCs w:val="24"/>
        </w:rPr>
      </w:pPr>
    </w:p>
    <w:p w:rsidR="00937BC1" w:rsidRDefault="00937BC1" w:rsidP="00937BC1">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t>Citi noteikumi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lastRenderedPageBreak/>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843C57">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843C57" w:rsidRPr="00843C57"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1B6A0A" w:rsidRPr="001B6A0A" w:rsidRDefault="001B6A0A" w:rsidP="001B6A0A">
      <w:pPr>
        <w:spacing w:after="0" w:line="240" w:lineRule="auto"/>
        <w:ind w:left="709" w:right="33" w:hanging="142"/>
        <w:jc w:val="both"/>
        <w:rPr>
          <w:rFonts w:ascii="Times New Roman" w:eastAsia="Times New Roman" w:hAnsi="Times New Roman"/>
          <w:sz w:val="24"/>
          <w:szCs w:val="24"/>
        </w:rPr>
      </w:pPr>
      <w:r w:rsidRPr="001B6A0A">
        <w:rPr>
          <w:rFonts w:ascii="Times New Roman" w:eastAsia="Times New Roman" w:hAnsi="Times New Roman"/>
          <w:sz w:val="24"/>
          <w:szCs w:val="24"/>
        </w:rPr>
        <w:t>7.7.1. no Pasūtītāja puses:</w:t>
      </w:r>
      <w:r w:rsidRPr="001B6A0A">
        <w:rPr>
          <w:rFonts w:ascii="Times New Roman" w:eastAsia="Times New Roman" w:hAnsi="Times New Roman"/>
          <w:color w:val="000000"/>
          <w:sz w:val="24"/>
          <w:szCs w:val="24"/>
        </w:rPr>
        <w:t xml:space="preserve"> Jovita Sproģe, tālrunis:</w:t>
      </w:r>
      <w:r w:rsidR="00972A1D">
        <w:rPr>
          <w:rFonts w:ascii="Times New Roman" w:eastAsia="Times New Roman" w:hAnsi="Times New Roman"/>
          <w:color w:val="000000"/>
          <w:sz w:val="24"/>
          <w:szCs w:val="24"/>
        </w:rPr>
        <w:t>______________</w:t>
      </w:r>
      <w:r w:rsidRPr="001B6A0A">
        <w:rPr>
          <w:rFonts w:ascii="Times New Roman" w:eastAsia="Times New Roman" w:hAnsi="Times New Roman"/>
          <w:color w:val="000000"/>
          <w:sz w:val="24"/>
          <w:szCs w:val="24"/>
        </w:rPr>
        <w:t>.</w:t>
      </w:r>
    </w:p>
    <w:p w:rsidR="003F0613" w:rsidRPr="003F0613" w:rsidRDefault="001B6A0A" w:rsidP="003F0613">
      <w:pPr>
        <w:spacing w:after="0" w:line="240" w:lineRule="auto"/>
        <w:ind w:left="709" w:right="33" w:hanging="142"/>
        <w:jc w:val="both"/>
        <w:rPr>
          <w:rFonts w:ascii="Times New Roman" w:hAnsi="Times New Roman"/>
          <w:sz w:val="24"/>
          <w:szCs w:val="24"/>
        </w:rPr>
      </w:pPr>
      <w:r w:rsidRPr="001B6A0A">
        <w:rPr>
          <w:rFonts w:ascii="Times New Roman" w:eastAsia="Times New Roman" w:hAnsi="Times New Roman"/>
          <w:sz w:val="24"/>
          <w:szCs w:val="24"/>
        </w:rPr>
        <w:t>7.7.2. no Piegādātāja puses</w:t>
      </w:r>
      <w:r w:rsidRPr="003F0613">
        <w:rPr>
          <w:rFonts w:ascii="Times New Roman" w:eastAsia="Times New Roman" w:hAnsi="Times New Roman"/>
          <w:sz w:val="24"/>
          <w:szCs w:val="24"/>
        </w:rPr>
        <w:t>:</w:t>
      </w:r>
      <w:r w:rsidR="00972A1D">
        <w:rPr>
          <w:rFonts w:ascii="Times New Roman" w:eastAsia="Times New Roman" w:hAnsi="Times New Roman"/>
          <w:sz w:val="24"/>
          <w:szCs w:val="24"/>
        </w:rPr>
        <w:t>____________</w:t>
      </w:r>
      <w:r w:rsidR="003F0613" w:rsidRPr="003F0613">
        <w:rPr>
          <w:rFonts w:ascii="Times New Roman" w:hAnsi="Times New Roman"/>
          <w:sz w:val="24"/>
          <w:szCs w:val="24"/>
        </w:rPr>
        <w:t>.</w:t>
      </w:r>
    </w:p>
    <w:p w:rsidR="00937BC1" w:rsidRDefault="001B6A0A" w:rsidP="001B6A0A">
      <w:pPr>
        <w:spacing w:after="0" w:line="240" w:lineRule="auto"/>
        <w:ind w:left="567" w:right="33" w:hanging="567"/>
        <w:jc w:val="both"/>
        <w:rPr>
          <w:bCs/>
        </w:rPr>
      </w:pPr>
      <w:r>
        <w:rPr>
          <w:rFonts w:ascii="Times New Roman" w:hAnsi="Times New Roman"/>
          <w:sz w:val="24"/>
          <w:szCs w:val="24"/>
        </w:rPr>
        <w:t xml:space="preserve">7.8. </w:t>
      </w:r>
      <w:r w:rsidR="00937BC1">
        <w:rPr>
          <w:rFonts w:ascii="Times New Roman" w:eastAsia="Times New Roman" w:hAnsi="Times New Roman"/>
          <w:sz w:val="24"/>
          <w:szCs w:val="24"/>
        </w:rPr>
        <w:t>Līgums s</w:t>
      </w:r>
      <w:r w:rsidR="00387DBF">
        <w:rPr>
          <w:rFonts w:ascii="Times New Roman" w:eastAsia="Times New Roman" w:hAnsi="Times New Roman"/>
          <w:sz w:val="24"/>
          <w:szCs w:val="24"/>
        </w:rPr>
        <w:t>agatavots latviešu valodā uz 7 (septiņām) lapām, ar 1 (vienu) pielikumu</w:t>
      </w:r>
      <w:r w:rsidR="00937BC1">
        <w:rPr>
          <w:rFonts w:ascii="Times New Roman" w:eastAsia="Times New Roman" w:hAnsi="Times New Roman"/>
          <w:sz w:val="24"/>
          <w:szCs w:val="24"/>
        </w:rPr>
        <w:t>, visi eksemplāri ir ar vienādu juridisko spēku. Viens no Līguma eksemplāriem atrodas pie Pasūtītāja, bet otrs – pie Piegādātāja.</w:t>
      </w:r>
    </w:p>
    <w:p w:rsidR="00937BC1" w:rsidRDefault="00937BC1" w:rsidP="001B6A0A">
      <w:pPr>
        <w:spacing w:after="0" w:line="240" w:lineRule="auto"/>
        <w:ind w:left="567" w:right="-766" w:hanging="567"/>
        <w:jc w:val="both"/>
        <w:rPr>
          <w:rFonts w:ascii="Times New Roman" w:hAnsi="Times New Roman"/>
          <w:bCs/>
          <w:sz w:val="24"/>
          <w:szCs w:val="24"/>
        </w:rPr>
      </w:pPr>
    </w:p>
    <w:p w:rsidR="00937BC1" w:rsidRDefault="00937BC1" w:rsidP="00937BC1">
      <w:pPr>
        <w:numPr>
          <w:ilvl w:val="0"/>
          <w:numId w:val="4"/>
        </w:numPr>
        <w:spacing w:after="160" w:line="256" w:lineRule="auto"/>
        <w:ind w:right="-766"/>
        <w:jc w:val="center"/>
        <w:rPr>
          <w:rFonts w:ascii="Times New Roman" w:hAnsi="Times New Roman"/>
          <w:b/>
          <w:bCs/>
          <w:sz w:val="24"/>
          <w:szCs w:val="24"/>
        </w:rPr>
      </w:pPr>
      <w:r>
        <w:rPr>
          <w:rFonts w:ascii="Times New Roman" w:hAnsi="Times New Roman"/>
          <w:b/>
          <w:bCs/>
          <w:sz w:val="24"/>
          <w:szCs w:val="24"/>
        </w:rPr>
        <w:t>Pušu juridiskās adreses un rekvizīti:</w:t>
      </w:r>
    </w:p>
    <w:tbl>
      <w:tblPr>
        <w:tblW w:w="9796" w:type="dxa"/>
        <w:tblInd w:w="-106" w:type="dxa"/>
        <w:tblLook w:val="01E0" w:firstRow="1" w:lastRow="1" w:firstColumn="1" w:lastColumn="1" w:noHBand="0" w:noVBand="0"/>
      </w:tblPr>
      <w:tblGrid>
        <w:gridCol w:w="5493"/>
        <w:gridCol w:w="4303"/>
      </w:tblGrid>
      <w:tr w:rsidR="001B6A0A" w:rsidRPr="00F31611" w:rsidTr="00557E79">
        <w:trPr>
          <w:trHeight w:val="103"/>
        </w:trPr>
        <w:tc>
          <w:tcPr>
            <w:tcW w:w="5493" w:type="dxa"/>
          </w:tcPr>
          <w:p w:rsidR="001B6A0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F31611" w:rsidRDefault="001B6A0A"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1B6A0A" w:rsidRPr="00F31611" w:rsidRDefault="001B6A0A"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1B6A0A"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1B6A0A" w:rsidRPr="002D284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2D284A" w:rsidRDefault="001B6A0A" w:rsidP="00557E79">
            <w:pPr>
              <w:spacing w:after="0" w:line="240" w:lineRule="auto"/>
              <w:ind w:right="33"/>
              <w:jc w:val="both"/>
              <w:rPr>
                <w:rFonts w:ascii="Times New Roman" w:eastAsia="Times New Roman" w:hAnsi="Times New Roman"/>
                <w:b/>
                <w:bCs/>
                <w:sz w:val="24"/>
                <w:szCs w:val="24"/>
              </w:rPr>
            </w:pPr>
            <w:r w:rsidRPr="002D284A">
              <w:rPr>
                <w:rFonts w:ascii="Times New Roman" w:eastAsia="Times New Roman" w:hAnsi="Times New Roman"/>
                <w:b/>
                <w:bCs/>
                <w:sz w:val="24"/>
                <w:szCs w:val="24"/>
                <w:u w:val="single"/>
              </w:rPr>
              <w:t>Piegādātājs:</w:t>
            </w:r>
          </w:p>
          <w:p w:rsidR="002D284A" w:rsidRPr="002D284A" w:rsidRDefault="002D284A" w:rsidP="002D284A">
            <w:pPr>
              <w:spacing w:after="0" w:line="240" w:lineRule="auto"/>
              <w:ind w:right="49"/>
              <w:jc w:val="both"/>
              <w:rPr>
                <w:rFonts w:ascii="Times New Roman" w:eastAsia="Times New Roman" w:hAnsi="Times New Roman"/>
                <w:b/>
                <w:sz w:val="24"/>
                <w:szCs w:val="24"/>
              </w:rPr>
            </w:pPr>
            <w:r w:rsidRPr="002D284A">
              <w:rPr>
                <w:rFonts w:ascii="Times New Roman" w:eastAsia="Times New Roman" w:hAnsi="Times New Roman"/>
                <w:b/>
                <w:sz w:val="24"/>
                <w:szCs w:val="24"/>
              </w:rPr>
              <w:t>UAB “</w:t>
            </w:r>
            <w:proofErr w:type="spellStart"/>
            <w:r w:rsidRPr="002D284A">
              <w:rPr>
                <w:rFonts w:ascii="Times New Roman" w:eastAsia="Times New Roman" w:hAnsi="Times New Roman"/>
                <w:b/>
                <w:sz w:val="24"/>
                <w:szCs w:val="24"/>
              </w:rPr>
              <w:t>Slaugivita</w:t>
            </w:r>
            <w:proofErr w:type="spellEnd"/>
            <w:r w:rsidRPr="002D284A">
              <w:rPr>
                <w:rFonts w:ascii="Times New Roman" w:eastAsia="Times New Roman" w:hAnsi="Times New Roman"/>
                <w:b/>
                <w:sz w:val="24"/>
                <w:szCs w:val="24"/>
              </w:rPr>
              <w:t>”</w:t>
            </w:r>
          </w:p>
          <w:p w:rsidR="002D284A" w:rsidRPr="002D284A" w:rsidRDefault="002D284A" w:rsidP="002D284A">
            <w:pPr>
              <w:spacing w:after="0" w:line="240" w:lineRule="auto"/>
              <w:ind w:right="49"/>
              <w:jc w:val="both"/>
              <w:rPr>
                <w:rFonts w:ascii="Times New Roman" w:eastAsia="Times New Roman" w:hAnsi="Times New Roman"/>
                <w:sz w:val="24"/>
                <w:szCs w:val="24"/>
              </w:rPr>
            </w:pPr>
            <w:proofErr w:type="spellStart"/>
            <w:r w:rsidRPr="002D284A">
              <w:rPr>
                <w:rFonts w:ascii="Times New Roman" w:eastAsia="Times New Roman" w:hAnsi="Times New Roman"/>
                <w:sz w:val="24"/>
                <w:szCs w:val="24"/>
              </w:rPr>
              <w:t>Reģ</w:t>
            </w:r>
            <w:proofErr w:type="spellEnd"/>
            <w:r w:rsidRPr="002D284A">
              <w:rPr>
                <w:rFonts w:ascii="Times New Roman" w:eastAsia="Times New Roman" w:hAnsi="Times New Roman"/>
                <w:sz w:val="24"/>
                <w:szCs w:val="24"/>
              </w:rPr>
              <w:t>. Nr. 145440368</w:t>
            </w:r>
          </w:p>
          <w:p w:rsidR="002D284A" w:rsidRPr="002D284A" w:rsidRDefault="002D284A" w:rsidP="002D284A">
            <w:pPr>
              <w:spacing w:after="0" w:line="240" w:lineRule="auto"/>
              <w:ind w:right="49"/>
              <w:jc w:val="both"/>
              <w:rPr>
                <w:rFonts w:ascii="Times New Roman" w:eastAsia="Times New Roman" w:hAnsi="Times New Roman"/>
                <w:sz w:val="24"/>
                <w:szCs w:val="24"/>
              </w:rPr>
            </w:pPr>
            <w:proofErr w:type="spellStart"/>
            <w:r w:rsidRPr="002D284A">
              <w:rPr>
                <w:rFonts w:ascii="Times New Roman" w:eastAsia="Times New Roman" w:hAnsi="Times New Roman"/>
                <w:sz w:val="24"/>
                <w:szCs w:val="24"/>
              </w:rPr>
              <w:t>Dubijos</w:t>
            </w:r>
            <w:proofErr w:type="spellEnd"/>
            <w:r w:rsidRPr="002D284A">
              <w:rPr>
                <w:rFonts w:ascii="Times New Roman" w:eastAsia="Times New Roman" w:hAnsi="Times New Roman"/>
                <w:sz w:val="24"/>
                <w:szCs w:val="24"/>
              </w:rPr>
              <w:t xml:space="preserve"> g. 16, LT-77172, Šauļi, Lietuva</w:t>
            </w:r>
          </w:p>
          <w:p w:rsidR="002D284A" w:rsidRPr="002D284A" w:rsidRDefault="002D284A" w:rsidP="002D284A">
            <w:pPr>
              <w:spacing w:after="0" w:line="240" w:lineRule="auto"/>
              <w:ind w:right="49"/>
              <w:jc w:val="both"/>
              <w:rPr>
                <w:rFonts w:ascii="Times New Roman" w:eastAsia="Times New Roman" w:hAnsi="Times New Roman"/>
                <w:sz w:val="24"/>
                <w:szCs w:val="24"/>
              </w:rPr>
            </w:pPr>
            <w:r w:rsidRPr="002D284A">
              <w:rPr>
                <w:rFonts w:ascii="Times New Roman" w:eastAsia="Times New Roman" w:hAnsi="Times New Roman"/>
                <w:sz w:val="24"/>
                <w:szCs w:val="24"/>
              </w:rPr>
              <w:t xml:space="preserve">Konta Nr. </w:t>
            </w:r>
            <w:r w:rsidR="00972A1D">
              <w:rPr>
                <w:rFonts w:ascii="Times New Roman" w:eastAsia="Times New Roman" w:hAnsi="Times New Roman"/>
                <w:sz w:val="24"/>
                <w:szCs w:val="24"/>
              </w:rPr>
              <w:t>_____________</w:t>
            </w:r>
          </w:p>
          <w:p w:rsidR="002D284A" w:rsidRPr="002D284A" w:rsidRDefault="002D284A" w:rsidP="002D284A">
            <w:pPr>
              <w:spacing w:after="0" w:line="240" w:lineRule="auto"/>
              <w:ind w:right="49"/>
              <w:jc w:val="both"/>
              <w:rPr>
                <w:rFonts w:ascii="Times New Roman" w:eastAsia="Times New Roman" w:hAnsi="Times New Roman"/>
                <w:sz w:val="24"/>
                <w:szCs w:val="24"/>
              </w:rPr>
            </w:pPr>
            <w:r w:rsidRPr="002D284A">
              <w:rPr>
                <w:rFonts w:ascii="Times New Roman" w:eastAsia="Times New Roman" w:hAnsi="Times New Roman"/>
                <w:sz w:val="24"/>
                <w:szCs w:val="24"/>
              </w:rPr>
              <w:t xml:space="preserve">Banka: </w:t>
            </w:r>
            <w:r w:rsidR="00972A1D">
              <w:rPr>
                <w:rFonts w:ascii="Times New Roman" w:eastAsia="Times New Roman" w:hAnsi="Times New Roman"/>
                <w:sz w:val="24"/>
                <w:szCs w:val="24"/>
              </w:rPr>
              <w:t>____________</w:t>
            </w:r>
          </w:p>
          <w:p w:rsidR="002D284A" w:rsidRPr="002D284A" w:rsidRDefault="002D284A" w:rsidP="002D284A">
            <w:pPr>
              <w:spacing w:after="0" w:line="240" w:lineRule="auto"/>
              <w:ind w:right="49"/>
              <w:jc w:val="both"/>
              <w:rPr>
                <w:rFonts w:ascii="Times New Roman" w:eastAsia="Times New Roman" w:hAnsi="Times New Roman"/>
                <w:sz w:val="24"/>
                <w:szCs w:val="24"/>
              </w:rPr>
            </w:pPr>
            <w:r w:rsidRPr="002D284A">
              <w:rPr>
                <w:rFonts w:ascii="Times New Roman" w:eastAsia="Times New Roman" w:hAnsi="Times New Roman"/>
                <w:sz w:val="24"/>
                <w:szCs w:val="24"/>
              </w:rPr>
              <w:t xml:space="preserve">Kods: </w:t>
            </w:r>
            <w:r w:rsidR="00972A1D">
              <w:rPr>
                <w:rFonts w:ascii="Times New Roman" w:eastAsia="Times New Roman" w:hAnsi="Times New Roman"/>
                <w:sz w:val="24"/>
                <w:szCs w:val="24"/>
              </w:rPr>
              <w:t>_____________</w:t>
            </w:r>
            <w:bookmarkStart w:id="3" w:name="_GoBack"/>
            <w:bookmarkEnd w:id="3"/>
          </w:p>
          <w:p w:rsidR="002D284A" w:rsidRPr="002D284A" w:rsidRDefault="002D284A" w:rsidP="002D284A">
            <w:pPr>
              <w:spacing w:after="0" w:line="240" w:lineRule="auto"/>
              <w:ind w:right="49"/>
              <w:jc w:val="both"/>
              <w:rPr>
                <w:rFonts w:ascii="Times New Roman" w:eastAsia="Times New Roman" w:hAnsi="Times New Roman"/>
                <w:sz w:val="24"/>
                <w:szCs w:val="24"/>
              </w:rPr>
            </w:pPr>
          </w:p>
          <w:p w:rsidR="002D284A" w:rsidRPr="002D284A" w:rsidRDefault="002D284A" w:rsidP="002D284A">
            <w:pPr>
              <w:spacing w:after="0" w:line="240" w:lineRule="auto"/>
              <w:ind w:right="49"/>
              <w:jc w:val="both"/>
              <w:rPr>
                <w:rFonts w:ascii="Times New Roman" w:eastAsia="Times New Roman" w:hAnsi="Times New Roman"/>
                <w:sz w:val="24"/>
                <w:szCs w:val="24"/>
              </w:rPr>
            </w:pPr>
          </w:p>
          <w:p w:rsidR="002D284A" w:rsidRPr="002D284A" w:rsidRDefault="002D284A" w:rsidP="002D284A">
            <w:pPr>
              <w:spacing w:after="0" w:line="240" w:lineRule="auto"/>
              <w:ind w:right="49"/>
              <w:jc w:val="both"/>
              <w:rPr>
                <w:rFonts w:ascii="Times New Roman" w:eastAsia="Times New Roman" w:hAnsi="Times New Roman"/>
                <w:sz w:val="24"/>
                <w:szCs w:val="24"/>
              </w:rPr>
            </w:pPr>
          </w:p>
          <w:p w:rsidR="002D284A" w:rsidRPr="002D284A" w:rsidRDefault="002D284A" w:rsidP="002D284A">
            <w:pPr>
              <w:spacing w:after="0" w:line="240" w:lineRule="auto"/>
              <w:ind w:right="49"/>
              <w:jc w:val="both"/>
              <w:rPr>
                <w:rFonts w:ascii="Times New Roman" w:eastAsia="Times New Roman" w:hAnsi="Times New Roman"/>
                <w:sz w:val="24"/>
                <w:szCs w:val="24"/>
              </w:rPr>
            </w:pPr>
            <w:r w:rsidRPr="002D284A">
              <w:rPr>
                <w:rFonts w:ascii="Times New Roman" w:eastAsia="Times New Roman" w:hAnsi="Times New Roman"/>
                <w:sz w:val="24"/>
                <w:szCs w:val="24"/>
              </w:rPr>
              <w:t>____________________________</w:t>
            </w:r>
          </w:p>
          <w:p w:rsidR="001B6A0A" w:rsidRPr="002D284A" w:rsidRDefault="002D284A" w:rsidP="002D284A">
            <w:pPr>
              <w:spacing w:after="0" w:line="240" w:lineRule="auto"/>
              <w:ind w:right="33"/>
              <w:jc w:val="both"/>
              <w:rPr>
                <w:rFonts w:ascii="Times New Roman" w:eastAsia="Times New Roman" w:hAnsi="Times New Roman"/>
                <w:sz w:val="24"/>
                <w:szCs w:val="24"/>
              </w:rPr>
            </w:pPr>
            <w:r w:rsidRPr="002D284A">
              <w:rPr>
                <w:rFonts w:ascii="Times New Roman" w:eastAsia="Times New Roman" w:hAnsi="Times New Roman"/>
                <w:sz w:val="24"/>
                <w:szCs w:val="24"/>
              </w:rPr>
              <w:t xml:space="preserve">Pilnvarotā persona </w:t>
            </w:r>
            <w:proofErr w:type="spellStart"/>
            <w:r w:rsidRPr="002D284A">
              <w:rPr>
                <w:rFonts w:ascii="Times New Roman" w:eastAsia="Times New Roman" w:hAnsi="Times New Roman"/>
                <w:sz w:val="24"/>
                <w:szCs w:val="24"/>
              </w:rPr>
              <w:t>S.Doniņa</w:t>
            </w:r>
            <w:proofErr w:type="spellEnd"/>
            <w:r w:rsidR="001B6A0A" w:rsidRPr="002D284A">
              <w:rPr>
                <w:rFonts w:ascii="Times New Roman" w:eastAsia="Times New Roman" w:hAnsi="Times New Roman"/>
                <w:sz w:val="24"/>
                <w:szCs w:val="24"/>
              </w:rPr>
              <w:t xml:space="preserve"> </w:t>
            </w:r>
          </w:p>
        </w:tc>
      </w:tr>
    </w:tbl>
    <w:p w:rsidR="00937BC1" w:rsidRDefault="00937BC1" w:rsidP="00937BC1">
      <w:pPr>
        <w:tabs>
          <w:tab w:val="left" w:pos="2160"/>
        </w:tabs>
        <w:spacing w:after="0" w:line="240" w:lineRule="auto"/>
        <w:ind w:right="-766"/>
        <w:jc w:val="both"/>
        <w:rPr>
          <w:rFonts w:ascii="Times New Roman" w:eastAsia="Times New Roman" w:hAnsi="Times New Roman"/>
          <w:bCs/>
          <w:sz w:val="24"/>
          <w:szCs w:val="24"/>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775CA5" w:rsidRDefault="00775CA5">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sectPr w:rsidR="0026572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BF" w:rsidRDefault="00387DBF" w:rsidP="00387DBF">
      <w:pPr>
        <w:spacing w:after="0" w:line="240" w:lineRule="auto"/>
      </w:pPr>
      <w:r>
        <w:separator/>
      </w:r>
    </w:p>
  </w:endnote>
  <w:endnote w:type="continuationSeparator" w:id="0">
    <w:p w:rsidR="00387DBF" w:rsidRDefault="00387DBF" w:rsidP="0038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213768"/>
      <w:docPartObj>
        <w:docPartGallery w:val="Page Numbers (Bottom of Page)"/>
        <w:docPartUnique/>
      </w:docPartObj>
    </w:sdtPr>
    <w:sdtEndPr>
      <w:rPr>
        <w:noProof/>
      </w:rPr>
    </w:sdtEndPr>
    <w:sdtContent>
      <w:p w:rsidR="00387DBF" w:rsidRDefault="00387DBF">
        <w:pPr>
          <w:pStyle w:val="Footer"/>
          <w:jc w:val="center"/>
        </w:pPr>
        <w:r>
          <w:fldChar w:fldCharType="begin"/>
        </w:r>
        <w:r>
          <w:instrText xml:space="preserve"> PAGE   \* MERGEFORMAT </w:instrText>
        </w:r>
        <w:r>
          <w:fldChar w:fldCharType="separate"/>
        </w:r>
        <w:r w:rsidR="00972A1D">
          <w:rPr>
            <w:noProof/>
          </w:rPr>
          <w:t>9</w:t>
        </w:r>
        <w:r>
          <w:rPr>
            <w:noProof/>
          </w:rPr>
          <w:fldChar w:fldCharType="end"/>
        </w:r>
      </w:p>
    </w:sdtContent>
  </w:sdt>
  <w:p w:rsidR="00387DBF" w:rsidRDefault="00387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BF" w:rsidRDefault="00387DBF" w:rsidP="00387DBF">
      <w:pPr>
        <w:spacing w:after="0" w:line="240" w:lineRule="auto"/>
      </w:pPr>
      <w:r>
        <w:separator/>
      </w:r>
    </w:p>
  </w:footnote>
  <w:footnote w:type="continuationSeparator" w:id="0">
    <w:p w:rsidR="00387DBF" w:rsidRDefault="00387DBF" w:rsidP="00387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D3"/>
    <w:rsid w:val="00030582"/>
    <w:rsid w:val="0004578C"/>
    <w:rsid w:val="000E3F11"/>
    <w:rsid w:val="001B6A0A"/>
    <w:rsid w:val="0026572F"/>
    <w:rsid w:val="002D284A"/>
    <w:rsid w:val="00387DBF"/>
    <w:rsid w:val="00391A9B"/>
    <w:rsid w:val="003F0613"/>
    <w:rsid w:val="00460C6C"/>
    <w:rsid w:val="004E5AE4"/>
    <w:rsid w:val="005E62B6"/>
    <w:rsid w:val="007076C6"/>
    <w:rsid w:val="00715607"/>
    <w:rsid w:val="00775CA5"/>
    <w:rsid w:val="007D6D5C"/>
    <w:rsid w:val="00843C57"/>
    <w:rsid w:val="0085038B"/>
    <w:rsid w:val="008B07EC"/>
    <w:rsid w:val="008B46C4"/>
    <w:rsid w:val="00937BC1"/>
    <w:rsid w:val="00942B31"/>
    <w:rsid w:val="00972A1D"/>
    <w:rsid w:val="009A22D3"/>
    <w:rsid w:val="00A964E3"/>
    <w:rsid w:val="00B17A08"/>
    <w:rsid w:val="00B42A8C"/>
    <w:rsid w:val="00C779A8"/>
    <w:rsid w:val="00C8489D"/>
    <w:rsid w:val="00CB2F76"/>
    <w:rsid w:val="00CC0647"/>
    <w:rsid w:val="00CE527F"/>
    <w:rsid w:val="00D92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5CD22D2-EBB1-4F53-8DE7-0AE6839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C1"/>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BC1"/>
    <w:rPr>
      <w:color w:val="0000FF"/>
      <w:u w:val="single"/>
    </w:rPr>
  </w:style>
  <w:style w:type="paragraph" w:styleId="BalloonText">
    <w:name w:val="Balloon Text"/>
    <w:basedOn w:val="Normal"/>
    <w:link w:val="BalloonTextChar"/>
    <w:uiPriority w:val="99"/>
    <w:semiHidden/>
    <w:unhideWhenUsed/>
    <w:rsid w:val="00937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C1"/>
    <w:rPr>
      <w:rFonts w:ascii="Segoe UI" w:eastAsia="Calibri" w:hAnsi="Segoe UI" w:cs="Segoe UI"/>
      <w:sz w:val="18"/>
      <w:szCs w:val="18"/>
    </w:rPr>
  </w:style>
  <w:style w:type="table" w:customStyle="1" w:styleId="TableGrid71">
    <w:name w:val="Table Grid71"/>
    <w:basedOn w:val="TableNormal"/>
    <w:uiPriority w:val="59"/>
    <w:rsid w:val="007076C6"/>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A0A"/>
    <w:pPr>
      <w:ind w:left="720"/>
      <w:contextualSpacing/>
    </w:pPr>
  </w:style>
  <w:style w:type="paragraph" w:styleId="Header">
    <w:name w:val="header"/>
    <w:basedOn w:val="Normal"/>
    <w:link w:val="HeaderChar"/>
    <w:uiPriority w:val="99"/>
    <w:unhideWhenUsed/>
    <w:rsid w:val="00387D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DBF"/>
    <w:rPr>
      <w:rFonts w:eastAsia="Calibri"/>
      <w:sz w:val="22"/>
      <w:szCs w:val="22"/>
    </w:rPr>
  </w:style>
  <w:style w:type="paragraph" w:styleId="Footer">
    <w:name w:val="footer"/>
    <w:basedOn w:val="Normal"/>
    <w:link w:val="FooterChar"/>
    <w:uiPriority w:val="99"/>
    <w:unhideWhenUsed/>
    <w:rsid w:val="00387D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7DBF"/>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15526</Words>
  <Characters>8851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dcterms:created xsi:type="dcterms:W3CDTF">2018-12-28T09:17:00Z</dcterms:created>
  <dcterms:modified xsi:type="dcterms:W3CDTF">2018-12-28T09:21:00Z</dcterms:modified>
</cp:coreProperties>
</file>