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bCs/>
          <w:lang w:val="lv-LV"/>
        </w:rPr>
      </w:pPr>
    </w:p>
    <w:p>
      <w:pPr>
        <w:jc w:val="right"/>
        <w:rPr>
          <w:bCs/>
          <w:lang w:val="lv-LV"/>
        </w:rPr>
      </w:pPr>
    </w:p>
    <w:p>
      <w:pPr>
        <w:pStyle w:val="14"/>
        <w:rPr>
          <w:rFonts w:ascii="Times New Roman" w:hAnsi="Times New Roman"/>
          <w:i/>
        </w:rPr>
      </w:pPr>
      <w:r>
        <w:rPr>
          <w:rFonts w:ascii="Times New Roman" w:hAnsi="Times New Roman"/>
        </w:rPr>
        <w:t xml:space="preserve">LĪGUMS Nr. </w:t>
      </w:r>
    </w:p>
    <w:p>
      <w:pPr>
        <w:jc w:val="center"/>
        <w:rPr>
          <w:b/>
          <w:lang w:val="lv-LV"/>
        </w:rPr>
      </w:pPr>
      <w:r>
        <w:rPr>
          <w:b/>
          <w:lang w:val="lv-LV"/>
        </w:rPr>
        <w:t>par medicīnas preces personāla individuālās aizsardzības nodrošināšanai</w:t>
      </w:r>
    </w:p>
    <w:p>
      <w:pPr>
        <w:jc w:val="center"/>
        <w:rPr>
          <w:b/>
          <w:lang w:val="lv-LV"/>
        </w:rPr>
      </w:pPr>
    </w:p>
    <w:p>
      <w:pPr>
        <w:tabs>
          <w:tab w:val="right" w:pos="9637"/>
        </w:tabs>
        <w:spacing w:after="240"/>
        <w:jc w:val="both"/>
        <w:rPr>
          <w:lang w:val="lv-LV"/>
        </w:rPr>
      </w:pPr>
      <w:r>
        <w:rPr>
          <w:bCs/>
          <w:lang w:val="lv-LV"/>
        </w:rPr>
        <w:t>Rīgā</w:t>
      </w:r>
      <w:r>
        <w:rPr>
          <w:lang w:val="lv-LV"/>
        </w:rPr>
        <w:t xml:space="preserve"> </w:t>
      </w:r>
    </w:p>
    <w:p>
      <w:pPr>
        <w:tabs>
          <w:tab w:val="right" w:pos="9637"/>
        </w:tabs>
        <w:spacing w:after="240"/>
        <w:jc w:val="center"/>
        <w:rPr>
          <w:bCs/>
          <w:lang w:val="lv-LV"/>
        </w:rPr>
      </w:pPr>
      <w:r>
        <w:rPr>
          <w:bCs/>
          <w:lang w:val="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lang w:val="lv-LV"/>
        </w:rPr>
      </w:pPr>
      <w:r>
        <w:rPr>
          <w:b/>
          <w:color w:val="363636"/>
          <w:lang w:val="lv-LV"/>
        </w:rPr>
        <w:t xml:space="preserve">SIA „Medeksperts” </w:t>
      </w:r>
      <w:r>
        <w:rPr>
          <w:lang w:val="lv-LV"/>
        </w:rPr>
        <w:t>reģistrācijas Nr. 50003336771, juridiskā adrese Ūnijas iela 8A, Rīga, LV-1084, kuru saskaņā ar statūtiem, pārstāv valdes priekšsēdētājs Ivars Spriņģis</w:t>
      </w:r>
      <w:r>
        <w:rPr>
          <w:szCs w:val="22"/>
          <w:lang w:val="lv-LV"/>
        </w:rPr>
        <w:t xml:space="preserve"> (turpmāk – </w:t>
      </w:r>
      <w:r>
        <w:rPr>
          <w:iCs/>
          <w:szCs w:val="22"/>
          <w:lang w:val="lv-LV"/>
        </w:rPr>
        <w:t>Piegādātājs),</w:t>
      </w:r>
    </w:p>
    <w:p>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pPr>
        <w:pStyle w:val="6"/>
        <w:spacing w:before="120" w:after="120"/>
      </w:pPr>
      <w:r>
        <w:t>pamatojoties uz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pPr>
        <w:numPr>
          <w:ilvl w:val="0"/>
          <w:numId w:val="1"/>
        </w:numPr>
        <w:spacing w:before="240" w:after="120"/>
        <w:ind w:left="425" w:hanging="425"/>
        <w:jc w:val="center"/>
        <w:rPr>
          <w:b/>
          <w:szCs w:val="22"/>
          <w:lang w:val="lv-LV"/>
        </w:rPr>
      </w:pPr>
      <w:r>
        <w:rPr>
          <w:b/>
          <w:szCs w:val="22"/>
          <w:lang w:val="lv-LV"/>
        </w:rPr>
        <w:t>LĪGUMA PRIEKŠMETS</w:t>
      </w:r>
    </w:p>
    <w:p>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pPr>
        <w:numPr>
          <w:ilvl w:val="1"/>
          <w:numId w:val="1"/>
        </w:numPr>
        <w:spacing w:before="120" w:after="120"/>
        <w:ind w:left="426" w:hanging="426"/>
        <w:jc w:val="both"/>
        <w:rPr>
          <w:szCs w:val="22"/>
          <w:lang w:val="lv-LV"/>
        </w:rPr>
      </w:pPr>
      <w:r>
        <w:rPr>
          <w:szCs w:val="22"/>
          <w:lang w:val="lv-LV"/>
        </w:rPr>
        <w:t>Piegādātājs apņemas piegādāt Pircējam, bet Pircējs apņemas pieņemt un apmaksāt Piegādātāja pienācīgi piegādātās Preces, kuras noteiktas Līguma Pielikumā Nr.1.</w:t>
      </w:r>
    </w:p>
    <w:p>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pPr>
        <w:numPr>
          <w:ilvl w:val="0"/>
          <w:numId w:val="2"/>
        </w:numPr>
        <w:tabs>
          <w:tab w:val="left" w:pos="513"/>
        </w:tabs>
        <w:spacing w:before="240" w:after="120"/>
        <w:ind w:left="425" w:hanging="425"/>
        <w:jc w:val="center"/>
        <w:rPr>
          <w:b/>
          <w:szCs w:val="22"/>
          <w:lang w:val="lv-LV"/>
        </w:rPr>
      </w:pPr>
      <w:r>
        <w:rPr>
          <w:b/>
          <w:szCs w:val="22"/>
          <w:lang w:val="lv-LV"/>
        </w:rPr>
        <w:t>PRECES CENA UN LĪGUMA SUMMA</w:t>
      </w:r>
    </w:p>
    <w:p>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pPr>
        <w:numPr>
          <w:ilvl w:val="1"/>
          <w:numId w:val="3"/>
        </w:numPr>
        <w:spacing w:before="120" w:after="120"/>
        <w:ind w:left="426" w:hanging="426"/>
        <w:jc w:val="both"/>
        <w:rPr>
          <w:szCs w:val="22"/>
          <w:lang w:val="lv-LV"/>
        </w:rPr>
      </w:pPr>
      <w:r>
        <w:rPr>
          <w:szCs w:val="22"/>
          <w:lang w:val="lv-LV"/>
        </w:rPr>
        <w:t>Preces cenā ir iekļauti visi nodokļi un izdevumi, kas rodas Piegādātājam sakarā ar Preces ievešanu Latvijas Republikā un tās piegādi Pircējam saskaņā ar šo Līgumu.</w:t>
      </w:r>
    </w:p>
    <w:p>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pPr>
        <w:numPr>
          <w:ilvl w:val="1"/>
          <w:numId w:val="3"/>
        </w:numPr>
        <w:spacing w:before="120" w:after="120"/>
        <w:ind w:left="426" w:hanging="426"/>
        <w:jc w:val="both"/>
        <w:rPr>
          <w:szCs w:val="22"/>
          <w:lang w:val="lv-LV"/>
        </w:rPr>
      </w:pPr>
      <w:r>
        <w:rPr>
          <w:lang w:val="lv-LV"/>
        </w:rPr>
        <w:t xml:space="preserve">Līguma summa ir līdz </w:t>
      </w:r>
      <w:r>
        <w:rPr>
          <w:rFonts w:hint="default"/>
          <w:b/>
          <w:bCs/>
          <w:lang w:val="lv-LV"/>
        </w:rPr>
        <w:t>16</w:t>
      </w:r>
      <w:r>
        <w:rPr>
          <w:b/>
          <w:bCs/>
          <w:lang w:val="lv-LV"/>
        </w:rPr>
        <w:t xml:space="preserve">,00 </w:t>
      </w:r>
      <w:r>
        <w:rPr>
          <w:b/>
          <w:i/>
          <w:lang w:val="lv-LV"/>
        </w:rPr>
        <w:t>euro</w:t>
      </w:r>
      <w:r>
        <w:rPr>
          <w:b/>
          <w:lang w:val="lv-LV"/>
        </w:rPr>
        <w:t xml:space="preserve"> </w:t>
      </w:r>
      <w:r>
        <w:rPr>
          <w:lang w:val="lv-LV"/>
        </w:rPr>
        <w:t>(</w:t>
      </w:r>
      <w:r>
        <w:rPr>
          <w:rFonts w:hint="default"/>
          <w:lang w:val="lv-LV"/>
        </w:rPr>
        <w:t>sešpadsmit</w:t>
      </w:r>
      <w:r>
        <w:rPr>
          <w:lang w:val="lv-LV"/>
        </w:rPr>
        <w:t xml:space="preserve"> euro un 0 centu) bez pievienotās vērtības nodokļa (turpmāk – PVN). </w:t>
      </w:r>
      <w:r>
        <w:rPr>
          <w:color w:val="000000"/>
          <w:lang w:val="lv-LV" w:eastAsia="lv-LV"/>
        </w:rPr>
        <w:t xml:space="preserve">PVN Puses piemēro Latvijas Republikas normatīvajos aktos noteiktajā apmērā. </w:t>
      </w:r>
    </w:p>
    <w:p>
      <w:pPr>
        <w:numPr>
          <w:ilvl w:val="1"/>
          <w:numId w:val="3"/>
        </w:numPr>
        <w:spacing w:before="120" w:after="120"/>
        <w:ind w:left="426" w:hanging="426"/>
        <w:jc w:val="both"/>
        <w:rPr>
          <w:szCs w:val="22"/>
          <w:lang w:val="lv-LV"/>
        </w:rPr>
      </w:pPr>
      <w:r>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 stājas spēkā.</w:t>
      </w:r>
    </w:p>
    <w:p>
      <w:pPr>
        <w:numPr>
          <w:ilvl w:val="1"/>
          <w:numId w:val="3"/>
        </w:numPr>
        <w:spacing w:before="120" w:after="120"/>
        <w:ind w:left="426" w:hanging="426"/>
        <w:jc w:val="both"/>
        <w:rPr>
          <w:szCs w:val="22"/>
          <w:lang w:val="lv-LV"/>
        </w:rPr>
      </w:pPr>
      <w:r>
        <w:rPr>
          <w:szCs w:val="22"/>
          <w:lang w:val="lv-LV"/>
        </w:rPr>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Pr>
          <w:rFonts w:eastAsia="Calibri"/>
          <w:lang w:val="lv-LV"/>
        </w:rPr>
        <w:t xml:space="preserve">kopsummu </w:t>
      </w:r>
      <w:bookmarkStart w:id="0" w:name="_GoBack"/>
      <w:r>
        <w:rPr>
          <w:rFonts w:hint="default" w:eastAsia="Calibri"/>
          <w:b/>
          <w:lang w:val="lv-LV"/>
        </w:rPr>
        <w:t>16 654</w:t>
      </w:r>
      <w:r>
        <w:rPr>
          <w:rFonts w:eastAsia="Calibri"/>
          <w:b/>
          <w:lang w:val="lv-LV"/>
        </w:rPr>
        <w:t>,00</w:t>
      </w:r>
      <w:bookmarkEnd w:id="0"/>
      <w:r>
        <w:rPr>
          <w:b/>
          <w:i/>
          <w:lang w:val="lv-LV"/>
        </w:rPr>
        <w:t xml:space="preserve"> euro</w:t>
      </w:r>
      <w:r>
        <w:rPr>
          <w:rFonts w:eastAsia="Calibri"/>
          <w:lang w:val="lv-LV"/>
        </w:rPr>
        <w:t xml:space="preserve"> (</w:t>
      </w:r>
      <w:r>
        <w:rPr>
          <w:rFonts w:hint="default" w:eastAsia="Calibri"/>
          <w:lang w:val="lv-LV"/>
        </w:rPr>
        <w:t>sešpadsmit</w:t>
      </w:r>
      <w:r>
        <w:rPr>
          <w:lang w:val="lv-LV"/>
        </w:rPr>
        <w:t xml:space="preserve"> tūkstoši </w:t>
      </w:r>
      <w:r>
        <w:rPr>
          <w:rFonts w:hint="default"/>
          <w:lang w:val="lv-LV"/>
        </w:rPr>
        <w:t>seši</w:t>
      </w:r>
      <w:r>
        <w:rPr>
          <w:lang w:val="lv-LV"/>
        </w:rPr>
        <w:t xml:space="preserve"> simti piecdesmit četri euro un 0 centu</w:t>
      </w:r>
      <w:r>
        <w:rPr>
          <w:rFonts w:eastAsia="Calibri"/>
          <w:lang w:val="lv-LV"/>
        </w:rPr>
        <w:t xml:space="preserve">) bez PVN.  </w:t>
      </w:r>
    </w:p>
    <w:p>
      <w:pPr>
        <w:numPr>
          <w:ilvl w:val="0"/>
          <w:numId w:val="2"/>
        </w:numPr>
        <w:spacing w:before="240" w:after="120"/>
        <w:ind w:left="425" w:hanging="425"/>
        <w:jc w:val="center"/>
        <w:rPr>
          <w:b/>
          <w:szCs w:val="22"/>
          <w:lang w:val="lv-LV"/>
        </w:rPr>
      </w:pPr>
      <w:r>
        <w:rPr>
          <w:b/>
          <w:szCs w:val="22"/>
          <w:lang w:val="lv-LV"/>
        </w:rPr>
        <w:t>LĪGUMA DARBĪBAS TERMIŅŠ</w:t>
      </w:r>
    </w:p>
    <w:p>
      <w:pPr>
        <w:numPr>
          <w:ilvl w:val="1"/>
          <w:numId w:val="4"/>
        </w:numPr>
        <w:spacing w:before="120" w:after="120"/>
        <w:ind w:left="426" w:hanging="426"/>
        <w:jc w:val="both"/>
        <w:rPr>
          <w:szCs w:val="22"/>
          <w:lang w:val="lv-LV"/>
        </w:rPr>
      </w:pPr>
      <w:r>
        <w:rPr>
          <w:szCs w:val="22"/>
          <w:lang w:val="lv-LV"/>
        </w:rPr>
        <w:t>Līgums stājas spēkā ar tā abpusējas parakstīšanas brīdi un ir spēkā 6 (sešus) kalendāros mēnešus.</w:t>
      </w:r>
    </w:p>
    <w:p>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pPr>
        <w:numPr>
          <w:ilvl w:val="0"/>
          <w:numId w:val="2"/>
        </w:numPr>
        <w:spacing w:before="240" w:after="120"/>
        <w:ind w:left="425" w:hanging="425"/>
        <w:jc w:val="center"/>
        <w:rPr>
          <w:b/>
          <w:szCs w:val="22"/>
          <w:lang w:val="lv-LV"/>
        </w:rPr>
      </w:pPr>
      <w:r>
        <w:rPr>
          <w:b/>
          <w:szCs w:val="22"/>
          <w:lang w:val="lv-LV"/>
        </w:rPr>
        <w:t>PRECES PIEGĀDES NOTEIKUMI UN PASŪTĪŠANAS KĀRTĪBA</w:t>
      </w:r>
    </w:p>
    <w:p>
      <w:pPr>
        <w:numPr>
          <w:ilvl w:val="1"/>
          <w:numId w:val="2"/>
        </w:numPr>
        <w:spacing w:before="120" w:after="120"/>
        <w:ind w:left="480" w:hanging="426"/>
        <w:jc w:val="both"/>
        <w:rPr>
          <w:szCs w:val="22"/>
          <w:lang w:val="lv-LV"/>
        </w:rPr>
      </w:pPr>
      <w:r>
        <w:rPr>
          <w:szCs w:val="22"/>
          <w:lang w:val="lv-LV"/>
        </w:rPr>
        <w:t>Piegādes noteikumi – DDP (INCOTERM 2020).</w:t>
      </w:r>
    </w:p>
    <w:p>
      <w:pPr>
        <w:numPr>
          <w:ilvl w:val="1"/>
          <w:numId w:val="2"/>
        </w:numPr>
        <w:spacing w:before="120" w:after="120"/>
        <w:ind w:left="480" w:hanging="426"/>
        <w:jc w:val="both"/>
        <w:rPr>
          <w:szCs w:val="22"/>
          <w:lang w:val="lv-LV"/>
        </w:rPr>
      </w:pPr>
      <w:r>
        <w:rPr>
          <w:szCs w:val="22"/>
          <w:lang w:val="lv-LV"/>
        </w:rPr>
        <w:t>Preces piegādes vieta:</w:t>
      </w:r>
      <w:r>
        <w:rPr>
          <w:rFonts w:ascii="Times New Roman" w:hAnsi="Times New Roman" w:eastAsia="Times New Roman"/>
          <w:sz w:val="24"/>
          <w:szCs w:val="24"/>
        </w:rPr>
        <w:t>VSIA “Paula Stradiņa klīniskā universitātes slimnīca” Pilsoņu iela 13, Rīga, LV – 1002</w:t>
      </w:r>
      <w:r>
        <w:rPr>
          <w:rFonts w:hint="default"/>
          <w:sz w:val="24"/>
          <w:szCs w:val="24"/>
          <w:lang w:val="lv-LV"/>
        </w:rPr>
        <w:t>.</w:t>
      </w:r>
    </w:p>
    <w:p>
      <w:pPr>
        <w:numPr>
          <w:ilvl w:val="1"/>
          <w:numId w:val="5"/>
        </w:numPr>
        <w:spacing w:before="120" w:after="120"/>
        <w:ind w:left="480" w:hanging="480"/>
        <w:jc w:val="both"/>
        <w:rPr>
          <w:lang w:val="lv-LV"/>
        </w:rPr>
      </w:pPr>
      <w:r>
        <w:rPr>
          <w:rFonts w:ascii="Times New Roman" w:hAnsi="Times New Roman" w:eastAsia="Times New Roman"/>
          <w:sz w:val="24"/>
          <w:szCs w:val="24"/>
        </w:rPr>
        <w:t xml:space="preserve">Preces pasūtīšanu veic elektroniski, pieprasījumu nosūtot uz Līguma </w:t>
      </w:r>
      <w:r>
        <w:rPr>
          <w:rFonts w:hint="default"/>
          <w:sz w:val="24"/>
          <w:szCs w:val="24"/>
          <w:lang w:val="lv-LV"/>
        </w:rPr>
        <w:t>4.4.2</w:t>
      </w:r>
      <w:r>
        <w:rPr>
          <w:rFonts w:ascii="Times New Roman" w:hAnsi="Times New Roman" w:eastAsia="Times New Roman"/>
          <w:sz w:val="24"/>
          <w:szCs w:val="24"/>
        </w:rPr>
        <w:t>.punktā norādītās kontaktpersonas e-pastu</w:t>
      </w:r>
      <w:r>
        <w:rPr>
          <w:rFonts w:hint="default"/>
          <w:sz w:val="24"/>
          <w:szCs w:val="24"/>
          <w:lang w:val="lv-LV"/>
        </w:rPr>
        <w:t>.</w:t>
      </w:r>
    </w:p>
    <w:p>
      <w:pPr>
        <w:numPr>
          <w:ilvl w:val="1"/>
          <w:numId w:val="5"/>
        </w:numPr>
        <w:spacing w:before="120" w:after="120"/>
        <w:ind w:left="480" w:hanging="480"/>
        <w:jc w:val="both"/>
        <w:rPr>
          <w:lang w:val="lv-LV"/>
        </w:rPr>
      </w:pPr>
      <w:r>
        <w:rPr>
          <w:lang w:val="lv-LV"/>
        </w:rPr>
        <w:t>Kontaktpersonas Līguma darbības laikā:</w:t>
      </w:r>
    </w:p>
    <w:p>
      <w:pPr>
        <w:numPr>
          <w:ilvl w:val="2"/>
          <w:numId w:val="5"/>
        </w:numPr>
        <w:spacing w:before="120" w:after="120"/>
        <w:ind w:left="709" w:hanging="709"/>
        <w:jc w:val="both"/>
        <w:rPr>
          <w:lang w:val="lv-LV"/>
        </w:rPr>
      </w:pPr>
      <w:r>
        <w:rPr>
          <w:lang w:val="lv-LV"/>
        </w:rPr>
        <w:t xml:space="preserve">No Pircēja puses: </w:t>
      </w:r>
      <w:r>
        <w:t xml:space="preserve">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1"/>
          <w:rFonts w:ascii="Times New Roman" w:hAnsi="Times New Roman" w:eastAsia="Times New Roman" w:cs="Times New Roman"/>
          <w:sz w:val="24"/>
          <w:szCs w:val="24"/>
          <w:lang w:eastAsia="lv-LV"/>
        </w:rPr>
        <w:t>andrejs.kanapuhins@stradini.lv</w:t>
      </w:r>
      <w:r>
        <w:rPr>
          <w:rStyle w:val="11"/>
          <w:rFonts w:ascii="Times New Roman" w:hAnsi="Times New Roman" w:eastAsia="Times New Roman" w:cs="Times New Roman"/>
          <w:sz w:val="24"/>
          <w:szCs w:val="24"/>
          <w:lang w:eastAsia="lv-LV"/>
        </w:rPr>
        <w:fldChar w:fldCharType="end"/>
      </w:r>
      <w:r>
        <w:rPr>
          <w:lang w:val="lv-LV"/>
        </w:rPr>
        <w:t xml:space="preserve"> ;</w:t>
      </w:r>
    </w:p>
    <w:p>
      <w:pPr>
        <w:numPr>
          <w:ilvl w:val="2"/>
          <w:numId w:val="5"/>
        </w:numPr>
        <w:spacing w:before="120" w:after="120"/>
        <w:ind w:left="709" w:hanging="709"/>
        <w:jc w:val="both"/>
        <w:rPr>
          <w:lang w:val="lv-LV"/>
        </w:rPr>
      </w:pPr>
      <w:r>
        <w:rPr>
          <w:lang w:val="lv-LV"/>
        </w:rPr>
        <w:t xml:space="preserve">No Piegādātāja puses: tirdzniecības pārstāve Alvīne Leitāne, tālr. 62202220, e- pasts alvine@medeksperts.lv. </w:t>
      </w:r>
    </w:p>
    <w:p>
      <w:pPr>
        <w:numPr>
          <w:ilvl w:val="0"/>
          <w:numId w:val="2"/>
        </w:numPr>
        <w:spacing w:before="240" w:after="120"/>
        <w:ind w:left="357" w:hanging="357"/>
        <w:jc w:val="center"/>
        <w:rPr>
          <w:b/>
          <w:szCs w:val="22"/>
          <w:lang w:val="lv-LV"/>
        </w:rPr>
      </w:pPr>
      <w:r>
        <w:rPr>
          <w:b/>
          <w:szCs w:val="22"/>
          <w:lang w:val="lv-LV"/>
        </w:rPr>
        <w:t>PRECES KVALITĀTE</w:t>
      </w:r>
    </w:p>
    <w:p>
      <w:pPr>
        <w:pStyle w:val="19"/>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pPr>
        <w:pStyle w:val="19"/>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pPr>
        <w:pStyle w:val="19"/>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Izdevumus, kas saistīti ar Preču apmaiņu, sedz Piegādātājs.</w:t>
      </w:r>
    </w:p>
    <w:p>
      <w:pPr>
        <w:pStyle w:val="19"/>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pPr>
        <w:pStyle w:val="19"/>
        <w:spacing w:before="120" w:after="120"/>
        <w:ind w:left="567"/>
        <w:contextualSpacing w:val="0"/>
        <w:jc w:val="both"/>
        <w:rPr>
          <w:lang w:val="lv-LV"/>
        </w:rPr>
      </w:pPr>
    </w:p>
    <w:p>
      <w:pPr>
        <w:numPr>
          <w:ilvl w:val="0"/>
          <w:numId w:val="2"/>
        </w:numPr>
        <w:spacing w:before="240" w:after="120"/>
        <w:ind w:left="357" w:hanging="357"/>
        <w:jc w:val="center"/>
        <w:rPr>
          <w:b/>
          <w:szCs w:val="22"/>
          <w:lang w:val="lv-LV"/>
        </w:rPr>
      </w:pPr>
      <w:r>
        <w:rPr>
          <w:b/>
          <w:szCs w:val="22"/>
          <w:lang w:val="lv-LV"/>
        </w:rPr>
        <w:t>PRECES PIEGĀDES UN SAŅEMŠANAS KĀRTĪBA</w:t>
      </w:r>
    </w:p>
    <w:p>
      <w:pPr>
        <w:pStyle w:val="19"/>
        <w:numPr>
          <w:ilvl w:val="1"/>
          <w:numId w:val="2"/>
        </w:numPr>
        <w:spacing w:before="120" w:after="120"/>
        <w:ind w:left="567" w:hanging="567"/>
        <w:contextualSpacing w:val="0"/>
        <w:jc w:val="both"/>
        <w:rPr>
          <w:lang w:val="lv-LV"/>
        </w:rPr>
      </w:pPr>
      <w:r>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pPr>
        <w:pStyle w:val="19"/>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pPr>
        <w:pStyle w:val="19"/>
        <w:numPr>
          <w:ilvl w:val="1"/>
          <w:numId w:val="2"/>
        </w:numPr>
        <w:spacing w:before="120" w:after="120"/>
        <w:ind w:left="567" w:hanging="567"/>
        <w:contextualSpacing w:val="0"/>
        <w:jc w:val="both"/>
        <w:rPr>
          <w:lang w:val="lv-LV"/>
        </w:rPr>
      </w:pPr>
      <w:r>
        <w:rPr>
          <w:lang w:val="lv-LV"/>
        </w:rPr>
        <w:t>Preces piegādi,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pPr>
        <w:pStyle w:val="19"/>
        <w:numPr>
          <w:ilvl w:val="1"/>
          <w:numId w:val="2"/>
        </w:numPr>
        <w:spacing w:before="120" w:after="120"/>
        <w:ind w:left="567" w:hanging="567"/>
        <w:contextualSpacing w:val="0"/>
        <w:jc w:val="both"/>
        <w:rPr>
          <w:b/>
          <w:bCs/>
        </w:rPr>
      </w:pPr>
      <w:r>
        <w:rPr>
          <w:lang w:val="lv-LV"/>
        </w:rPr>
        <w:t>P</w:t>
      </w:r>
      <w:r>
        <w:rPr>
          <w:rFonts w:ascii="Times New Roman" w:hAnsi="Times New Roman" w:eastAsia="Times New Roman"/>
          <w:sz w:val="24"/>
          <w:szCs w:val="24"/>
        </w:rPr>
        <w:t xml:space="preserve">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r>
        <w:rPr>
          <w:rFonts w:ascii="Times New Roman" w:hAnsi="Times New Roman" w:eastAsia="Times New Roman"/>
          <w:color w:val="0000FF"/>
          <w:sz w:val="24"/>
          <w:szCs w:val="24"/>
          <w:u w:val="single"/>
        </w:rPr>
        <w:fldChar w:fldCharType="begin"/>
      </w:r>
      <w:r>
        <w:rPr>
          <w:rFonts w:ascii="Times New Roman" w:hAnsi="Times New Roman" w:eastAsia="Times New Roman"/>
          <w:color w:val="0000FF"/>
          <w:sz w:val="24"/>
          <w:szCs w:val="24"/>
          <w:u w:val="single"/>
        </w:rPr>
        <w:instrText xml:space="preserve"> HYPERLINK "mailto:rekini@stradini.lv" </w:instrText>
      </w:r>
      <w:r>
        <w:rPr>
          <w:rFonts w:ascii="Times New Roman" w:hAnsi="Times New Roman" w:eastAsia="Times New Roman"/>
          <w:color w:val="0000FF"/>
          <w:sz w:val="24"/>
          <w:szCs w:val="24"/>
          <w:u w:val="single"/>
        </w:rPr>
        <w:fldChar w:fldCharType="separate"/>
      </w:r>
      <w:r>
        <w:rPr>
          <w:rFonts w:ascii="Times New Roman" w:hAnsi="Times New Roman" w:eastAsia="Times New Roman"/>
          <w:color w:val="0000FF"/>
          <w:sz w:val="24"/>
          <w:szCs w:val="24"/>
          <w:u w:val="single"/>
        </w:rPr>
        <w:t>rekini@stradini.lv</w:t>
      </w:r>
      <w:r>
        <w:rPr>
          <w:rFonts w:ascii="Times New Roman" w:hAnsi="Times New Roman" w:eastAsia="Times New Roman"/>
          <w:color w:val="0000FF"/>
          <w:sz w:val="24"/>
          <w:szCs w:val="24"/>
          <w:u w:val="single"/>
        </w:rPr>
        <w:fldChar w:fldCharType="end"/>
      </w:r>
      <w:r>
        <w:rPr>
          <w:rFonts w:ascii="Times New Roman" w:hAnsi="Times New Roman" w:eastAsia="Times New Roman"/>
          <w:color w:val="0000FF"/>
          <w:sz w:val="24"/>
          <w:szCs w:val="24"/>
          <w:u w:val="single"/>
        </w:rPr>
        <w:t>.</w:t>
      </w:r>
    </w:p>
    <w:p>
      <w:pPr>
        <w:pStyle w:val="19"/>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pPr>
        <w:pStyle w:val="19"/>
        <w:numPr>
          <w:ilvl w:val="1"/>
          <w:numId w:val="2"/>
        </w:numPr>
        <w:spacing w:before="120" w:after="120"/>
        <w:ind w:left="567" w:hanging="567"/>
        <w:contextualSpacing w:val="0"/>
        <w:jc w:val="both"/>
        <w:rPr>
          <w:rFonts w:eastAsia="Calibri"/>
          <w:lang w:val="lv-LV"/>
        </w:rPr>
      </w:pPr>
      <w:r>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Pr>
          <w:rFonts w:eastAsia="Calibri"/>
          <w:lang w:val="lv-LV"/>
        </w:rPr>
        <w:t>.</w:t>
      </w:r>
    </w:p>
    <w:p>
      <w:pPr>
        <w:pStyle w:val="19"/>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pPr>
        <w:numPr>
          <w:ilvl w:val="0"/>
          <w:numId w:val="2"/>
        </w:numPr>
        <w:spacing w:before="240" w:after="120"/>
        <w:ind w:left="357" w:hanging="357"/>
        <w:jc w:val="center"/>
        <w:rPr>
          <w:b/>
          <w:szCs w:val="22"/>
          <w:lang w:val="lv-LV"/>
        </w:rPr>
      </w:pPr>
      <w:r>
        <w:rPr>
          <w:b/>
          <w:szCs w:val="22"/>
          <w:lang w:val="lv-LV"/>
        </w:rPr>
        <w:t>NORĒĶINU KĀRTĪBA</w:t>
      </w:r>
    </w:p>
    <w:p>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pPr>
        <w:numPr>
          <w:ilvl w:val="1"/>
          <w:numId w:val="2"/>
        </w:numPr>
        <w:tabs>
          <w:tab w:val="left" w:pos="567"/>
        </w:tabs>
        <w:spacing w:before="120" w:after="120"/>
        <w:ind w:left="567" w:hanging="567"/>
        <w:jc w:val="both"/>
        <w:rPr>
          <w:szCs w:val="22"/>
          <w:lang w:val="lv-LV"/>
        </w:rPr>
      </w:pPr>
      <w:r>
        <w:rPr>
          <w:szCs w:val="22"/>
          <w:lang w:val="lv-LV"/>
        </w:rPr>
        <w:t>Pirkumu apmaksa tiek veikta ar bezskaidras naudas norēķiniem, pirkuma maksu ieskaitot Piegādātāja norādītajā bankas kontā.</w:t>
      </w:r>
    </w:p>
    <w:p>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pPr>
        <w:numPr>
          <w:ilvl w:val="0"/>
          <w:numId w:val="2"/>
        </w:numPr>
        <w:spacing w:before="240" w:after="120"/>
        <w:ind w:left="357" w:hanging="357"/>
        <w:jc w:val="center"/>
        <w:rPr>
          <w:b/>
          <w:szCs w:val="22"/>
          <w:lang w:val="lv-LV"/>
        </w:rPr>
      </w:pPr>
      <w:r>
        <w:rPr>
          <w:b/>
          <w:szCs w:val="22"/>
          <w:lang w:val="lv-LV"/>
        </w:rPr>
        <w:t>PUŠU TIESĪBAS UN PIENĀKUMI</w:t>
      </w:r>
    </w:p>
    <w:p>
      <w:pPr>
        <w:numPr>
          <w:ilvl w:val="1"/>
          <w:numId w:val="6"/>
        </w:numPr>
        <w:tabs>
          <w:tab w:val="left" w:pos="567"/>
        </w:tabs>
        <w:spacing w:before="120" w:after="120"/>
        <w:ind w:left="0" w:firstLine="0"/>
        <w:jc w:val="both"/>
        <w:rPr>
          <w:lang w:val="lv-LV"/>
        </w:rPr>
      </w:pPr>
      <w:r>
        <w:rPr>
          <w:lang w:val="lv-LV"/>
        </w:rPr>
        <w:t xml:space="preserve">Piegādātājam ir pienākums: </w:t>
      </w:r>
    </w:p>
    <w:p>
      <w:pPr>
        <w:numPr>
          <w:ilvl w:val="2"/>
          <w:numId w:val="2"/>
        </w:numPr>
        <w:spacing w:before="120" w:after="120"/>
        <w:ind w:left="1418" w:hanging="709"/>
        <w:jc w:val="both"/>
        <w:rPr>
          <w:lang w:val="lv-LV"/>
        </w:rPr>
      </w:pPr>
      <w:r>
        <w:rPr>
          <w:lang w:val="lv-LV"/>
        </w:rPr>
        <w:t xml:space="preserve">veikt savlaicīgu Preces piegādi saskaņā ar šī Līguma noteikumiem; </w:t>
      </w:r>
    </w:p>
    <w:p>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pPr>
        <w:numPr>
          <w:ilvl w:val="2"/>
          <w:numId w:val="2"/>
        </w:numPr>
        <w:spacing w:before="120" w:after="120"/>
        <w:ind w:left="1418" w:hanging="709"/>
        <w:jc w:val="both"/>
        <w:rPr>
          <w:lang w:val="lv-LV"/>
        </w:rPr>
      </w:pPr>
      <w:r>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pPr>
        <w:numPr>
          <w:ilvl w:val="2"/>
          <w:numId w:val="2"/>
        </w:numPr>
        <w:spacing w:before="120" w:after="120"/>
        <w:ind w:left="1418" w:hanging="709"/>
        <w:jc w:val="both"/>
        <w:rPr>
          <w:lang w:val="lv-LV"/>
        </w:rPr>
      </w:pPr>
      <w:r>
        <w:rPr>
          <w:lang w:val="lv-LV"/>
        </w:rPr>
        <w:t>uzņemties atbildību trešo personu un Pircēja priekšā par kaitējumu, kas tiem radies sakarā ar Preces kvalitātes trūkumu;</w:t>
      </w:r>
    </w:p>
    <w:p>
      <w:pPr>
        <w:numPr>
          <w:ilvl w:val="2"/>
          <w:numId w:val="2"/>
        </w:numPr>
        <w:spacing w:before="120" w:after="120"/>
        <w:ind w:left="1418"/>
        <w:jc w:val="both"/>
        <w:rPr>
          <w:lang w:val="lv-LV"/>
        </w:rPr>
      </w:pPr>
      <w:r>
        <w:rPr>
          <w:lang w:val="lv-LV"/>
        </w:rPr>
        <w:t>Ja Līguma darbības laikā Piegādātājs rīko akcijas, kuru laikā Preces tiek pārdotas par zemākām cenām nekā noteikts Līguma Pielikumā Nr.1, informēt Pircēju un piegādāt šīs Preces par šādām zemākām cenām.</w:t>
      </w:r>
    </w:p>
    <w:p>
      <w:pPr>
        <w:spacing w:before="120" w:after="120"/>
        <w:ind w:left="851" w:hanging="425"/>
        <w:jc w:val="both"/>
        <w:rPr>
          <w:lang w:val="lv-LV"/>
        </w:rPr>
      </w:pPr>
      <w:r>
        <w:rPr>
          <w:lang w:val="lv-LV"/>
        </w:rPr>
        <w:t>8.2. Piegādātājam ir tiesības:</w:t>
      </w:r>
    </w:p>
    <w:p>
      <w:pPr>
        <w:spacing w:before="120" w:after="120"/>
        <w:ind w:left="1418" w:hanging="709"/>
        <w:jc w:val="both"/>
        <w:rPr>
          <w:lang w:val="lv-LV"/>
        </w:rPr>
      </w:pPr>
      <w:r>
        <w:rPr>
          <w:lang w:val="lv-LV"/>
        </w:rPr>
        <w:t>8.2.1. saņemt pirkuma maksu par pienācīgi piegādātām Precēm;</w:t>
      </w:r>
    </w:p>
    <w:p>
      <w:pPr>
        <w:spacing w:before="120" w:after="120"/>
        <w:ind w:left="1418" w:hanging="709"/>
        <w:jc w:val="both"/>
        <w:rPr>
          <w:lang w:val="lv-LV"/>
        </w:rPr>
      </w:pPr>
      <w:r>
        <w:rPr>
          <w:bCs/>
          <w:lang w:val="lv-LV"/>
        </w:rPr>
        <w:t>8.2.2. saņemt līgumsodu, ja Pircējs nav veicis maksājumus.</w:t>
      </w:r>
    </w:p>
    <w:p>
      <w:pPr>
        <w:spacing w:before="120" w:after="120"/>
        <w:ind w:left="851" w:hanging="425"/>
        <w:jc w:val="both"/>
        <w:rPr>
          <w:lang w:val="lv-LV"/>
        </w:rPr>
      </w:pPr>
      <w:r>
        <w:rPr>
          <w:lang w:val="lv-LV"/>
        </w:rPr>
        <w:t>8.3. Pircējam ir pienākums:</w:t>
      </w:r>
    </w:p>
    <w:p>
      <w:pPr>
        <w:spacing w:before="120" w:after="120"/>
        <w:ind w:left="1276"/>
        <w:jc w:val="both"/>
        <w:rPr>
          <w:lang w:val="lv-LV"/>
        </w:rPr>
      </w:pPr>
      <w:r>
        <w:rPr>
          <w:lang w:val="lv-LV"/>
        </w:rPr>
        <w:t xml:space="preserve">8.3.1. nodrošināt Piegādātāja pienācīgi piegādātās Preces pieņemšanu; </w:t>
      </w:r>
    </w:p>
    <w:p>
      <w:pPr>
        <w:spacing w:before="120" w:after="120"/>
        <w:ind w:left="1276"/>
        <w:jc w:val="both"/>
        <w:rPr>
          <w:lang w:val="lv-LV"/>
        </w:rPr>
      </w:pPr>
      <w:r>
        <w:rPr>
          <w:lang w:val="lv-LV"/>
        </w:rPr>
        <w:t>8.3.2. nodrošināt saņemtās Preces pienācīgu uzglabāšanu;</w:t>
      </w:r>
    </w:p>
    <w:p>
      <w:pPr>
        <w:spacing w:before="120" w:after="120"/>
        <w:ind w:left="1276"/>
        <w:jc w:val="both"/>
        <w:rPr>
          <w:lang w:val="lv-LV"/>
        </w:rPr>
      </w:pPr>
      <w:r>
        <w:rPr>
          <w:lang w:val="lv-LV"/>
        </w:rPr>
        <w:t>8.3.3. norēķināties par saņemto Preci.</w:t>
      </w:r>
    </w:p>
    <w:p>
      <w:pPr>
        <w:numPr>
          <w:ilvl w:val="1"/>
          <w:numId w:val="7"/>
        </w:numPr>
        <w:spacing w:before="120" w:after="120"/>
        <w:ind w:left="851" w:hanging="425"/>
        <w:jc w:val="both"/>
        <w:rPr>
          <w:lang w:val="lv-LV"/>
        </w:rPr>
      </w:pPr>
      <w:r>
        <w:rPr>
          <w:lang w:val="lv-LV"/>
        </w:rPr>
        <w:t>Pircējam ir tiesības:</w:t>
      </w:r>
    </w:p>
    <w:p>
      <w:pPr>
        <w:numPr>
          <w:ilvl w:val="2"/>
          <w:numId w:val="7"/>
        </w:numPr>
        <w:spacing w:before="120" w:after="120"/>
        <w:ind w:left="1418" w:hanging="709"/>
        <w:jc w:val="both"/>
        <w:rPr>
          <w:szCs w:val="22"/>
          <w:lang w:val="lv-LV"/>
        </w:rPr>
      </w:pPr>
      <w:r>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pPr>
        <w:numPr>
          <w:ilvl w:val="0"/>
          <w:numId w:val="2"/>
        </w:numPr>
        <w:spacing w:before="240" w:after="120"/>
        <w:ind w:left="357" w:hanging="357"/>
        <w:jc w:val="center"/>
        <w:rPr>
          <w:b/>
          <w:szCs w:val="22"/>
          <w:lang w:val="lv-LV"/>
        </w:rPr>
      </w:pPr>
      <w:r>
        <w:rPr>
          <w:b/>
          <w:szCs w:val="22"/>
          <w:lang w:val="lv-LV"/>
        </w:rPr>
        <w:t>PUŠU ATBILDĪBA</w:t>
      </w:r>
    </w:p>
    <w:p>
      <w:pPr>
        <w:numPr>
          <w:ilvl w:val="1"/>
          <w:numId w:val="2"/>
        </w:numPr>
        <w:spacing w:before="120" w:after="120"/>
        <w:ind w:left="600" w:hanging="567"/>
        <w:jc w:val="both"/>
        <w:rPr>
          <w:szCs w:val="22"/>
          <w:lang w:val="lv-LV"/>
        </w:rPr>
      </w:pPr>
      <w:r>
        <w:rPr>
          <w:szCs w:val="22"/>
          <w:lang w:val="lv-LV"/>
        </w:rPr>
        <w:t>Abas Puses ir pilnībā savstarpēji atbildīgas par zaudējumiem, kurus tās nodara viena otrai ar šā Līguma neizpildi vai nepienācīgu izpildi.</w:t>
      </w:r>
    </w:p>
    <w:p>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 xml:space="preserve">attiecīgo līgumsoda summu ieturēt arī savstarpēja ieskaita veidā, veicot maksājumus par iepriekš atbilstoši Līguma noteikumiem piegādātajām Precēm. </w:t>
      </w: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attiecīgo līgumsoda summu ieturēt arī savstarpēja ieskaita veidā, veicot maksājumus par iepriekš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veicot maksājumus par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 xml:space="preserve">apmērā par katru nokavēto samaksas dienu no neapmaksātās summas, bet ne vairāk kā 10% (desmit procenti) apmērā no neapmaksātās summas. </w:t>
      </w:r>
    </w:p>
    <w:p>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pPr>
        <w:numPr>
          <w:ilvl w:val="1"/>
          <w:numId w:val="2"/>
        </w:numPr>
        <w:spacing w:before="120" w:after="120"/>
        <w:ind w:left="600" w:hanging="567"/>
        <w:jc w:val="both"/>
        <w:rPr>
          <w:szCs w:val="22"/>
          <w:lang w:val="lv-LV"/>
        </w:rPr>
      </w:pPr>
      <w:r>
        <w:rPr>
          <w:szCs w:val="22"/>
          <w:lang w:val="lv-LV"/>
        </w:rPr>
        <w:t>Pircējs ir tiesīgs attiecīgo līgumsoda summu ieturēt arī savstarpēja ieskaita veidā, veicot maksājumus par iepriekš atbilstoši Līguma noteikumiem piegādātajām Precēm.</w:t>
      </w:r>
    </w:p>
    <w:p>
      <w:pPr>
        <w:numPr>
          <w:ilvl w:val="0"/>
          <w:numId w:val="2"/>
        </w:numPr>
        <w:spacing w:before="240" w:after="120"/>
        <w:ind w:left="357" w:hanging="357"/>
        <w:jc w:val="center"/>
        <w:rPr>
          <w:b/>
          <w:szCs w:val="22"/>
          <w:lang w:val="lv-LV"/>
        </w:rPr>
      </w:pPr>
      <w:r>
        <w:rPr>
          <w:b/>
          <w:szCs w:val="22"/>
          <w:lang w:val="lv-LV"/>
        </w:rPr>
        <w:t>LĪGUMA GROZĪŠANAS KĀRTĪBA UN KĀRTĪBA, KĀDĀ PIEĻAUJAMA ATKĀPŠANĀS NO LĪGUMA</w:t>
      </w:r>
    </w:p>
    <w:p>
      <w:pPr>
        <w:numPr>
          <w:ilvl w:val="1"/>
          <w:numId w:val="2"/>
        </w:numPr>
        <w:spacing w:before="120" w:after="120"/>
        <w:ind w:left="600" w:hanging="567"/>
        <w:jc w:val="both"/>
        <w:rPr>
          <w:szCs w:val="22"/>
          <w:lang w:val="lv-LV"/>
        </w:rPr>
      </w:pPr>
      <w:r>
        <w:rPr>
          <w:szCs w:val="22"/>
          <w:lang w:val="lv-LV"/>
        </w:rPr>
        <w:t>Pircējam ir tiesības nekavējoties vienpusēji izbeigt Līgumu attiecībā uz visām Līguma Pielikumā Nr.1 norādītajām Preču pozīcijām, nosūtot rakstisku paziņojumu Piegādātājam, ja:</w:t>
      </w:r>
    </w:p>
    <w:p>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pPr>
        <w:numPr>
          <w:ilvl w:val="2"/>
          <w:numId w:val="2"/>
        </w:numPr>
        <w:spacing w:before="120" w:after="120"/>
        <w:ind w:left="1276" w:hanging="709"/>
        <w:jc w:val="both"/>
        <w:rPr>
          <w:szCs w:val="22"/>
          <w:lang w:val="lv-LV"/>
        </w:rPr>
      </w:pPr>
      <w:r>
        <w:rPr>
          <w:szCs w:val="22"/>
          <w:lang w:val="lv-LV"/>
        </w:rPr>
        <w:t>pret Piegādātāju ir uzsākta maksātnespējas procedūra, vai tā darbība ir apturēta;</w:t>
      </w:r>
    </w:p>
    <w:p>
      <w:pPr>
        <w:numPr>
          <w:ilvl w:val="2"/>
          <w:numId w:val="2"/>
        </w:numPr>
        <w:spacing w:before="120" w:after="120"/>
        <w:ind w:left="1276" w:hanging="709"/>
        <w:jc w:val="both"/>
        <w:rPr>
          <w:szCs w:val="22"/>
          <w:lang w:val="lv-LV"/>
        </w:rPr>
      </w:pPr>
      <w:r>
        <w:rPr>
          <w:szCs w:val="22"/>
          <w:lang w:val="lv-LV"/>
        </w:rPr>
        <w:t>Piegādātājs nepilda Līguma noteikumus;</w:t>
      </w:r>
    </w:p>
    <w:p>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pPr>
        <w:numPr>
          <w:ilvl w:val="0"/>
          <w:numId w:val="2"/>
        </w:numPr>
        <w:spacing w:before="240" w:after="120"/>
        <w:ind w:left="425" w:hanging="425"/>
        <w:jc w:val="center"/>
        <w:rPr>
          <w:b/>
          <w:szCs w:val="22"/>
          <w:lang w:val="lv-LV"/>
        </w:rPr>
      </w:pPr>
      <w:r>
        <w:rPr>
          <w:b/>
          <w:szCs w:val="22"/>
          <w:lang w:val="lv-LV"/>
        </w:rPr>
        <w:t>NEPĀRVARAMA VARA</w:t>
      </w:r>
    </w:p>
    <w:p>
      <w:pPr>
        <w:pStyle w:val="19"/>
        <w:numPr>
          <w:ilvl w:val="1"/>
          <w:numId w:val="2"/>
        </w:numPr>
        <w:spacing w:before="120" w:after="120"/>
        <w:ind w:left="567" w:hanging="567"/>
        <w:contextualSpacing w:val="0"/>
        <w:jc w:val="both"/>
        <w:rPr>
          <w:lang w:val="lv-LV"/>
        </w:rPr>
      </w:pPr>
      <w:r>
        <w:rPr>
          <w:lang w:val="lv-LV"/>
        </w:rPr>
        <w:t xml:space="preserve">Puses ir atbrīvotas no atbildības par Līgumā noteikto pienākumu pilnīgu vai daļēju neizpildi, ja šāda neizpilde radusies nepārvarama, ārkārtēja gadījuma dēļ (nepārvarama vara, </w:t>
      </w:r>
      <w:r>
        <w:rPr>
          <w:i/>
          <w:lang w:val="lv-LV"/>
        </w:rPr>
        <w:t>force majeure</w:t>
      </w:r>
      <w:r>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pStyle w:val="19"/>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lang w:val="lv-LV"/>
        </w:rPr>
        <w:t>.</w:t>
      </w:r>
    </w:p>
    <w:p>
      <w:pPr>
        <w:spacing w:after="160" w:line="259" w:lineRule="auto"/>
        <w:rPr>
          <w:bCs/>
          <w:szCs w:val="22"/>
          <w:lang w:val="lv-LV"/>
        </w:rPr>
      </w:pPr>
      <w:r>
        <w:rPr>
          <w:bCs/>
          <w:szCs w:val="22"/>
          <w:lang w:val="lv-LV"/>
        </w:rPr>
        <w:br w:type="page"/>
      </w:r>
    </w:p>
    <w:p>
      <w:pPr>
        <w:numPr>
          <w:ilvl w:val="0"/>
          <w:numId w:val="2"/>
        </w:numPr>
        <w:spacing w:before="240" w:after="120"/>
        <w:ind w:left="425" w:hanging="425"/>
        <w:jc w:val="center"/>
        <w:rPr>
          <w:b/>
          <w:szCs w:val="22"/>
          <w:lang w:val="lv-LV"/>
        </w:rPr>
      </w:pPr>
      <w:r>
        <w:rPr>
          <w:b/>
          <w:szCs w:val="22"/>
          <w:lang w:val="lv-LV"/>
        </w:rPr>
        <w:t>CITI NOTEIKUMI</w:t>
      </w:r>
    </w:p>
    <w:p>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pPr>
        <w:numPr>
          <w:ilvl w:val="1"/>
          <w:numId w:val="2"/>
        </w:numPr>
        <w:spacing w:before="120" w:after="120"/>
        <w:ind w:left="600" w:hanging="567"/>
        <w:jc w:val="both"/>
        <w:rPr>
          <w:szCs w:val="22"/>
          <w:lang w:val="lv-LV"/>
        </w:rPr>
      </w:pPr>
      <w:r>
        <w:rPr>
          <w:szCs w:val="22"/>
          <w:lang w:val="lv-LV"/>
        </w:rPr>
        <w:t>Ja Līguma darbības laikā notiek Puses reorganizācija, tās tiesības un pienākumus realizē saistību pārņēmējs.</w:t>
      </w:r>
    </w:p>
    <w:p>
      <w:pPr>
        <w:numPr>
          <w:ilvl w:val="1"/>
          <w:numId w:val="2"/>
        </w:numPr>
        <w:spacing w:before="120" w:after="120"/>
        <w:ind w:left="600" w:hanging="567"/>
        <w:jc w:val="both"/>
        <w:rPr>
          <w:szCs w:val="22"/>
          <w:lang w:val="lv-LV"/>
        </w:rPr>
      </w:pPr>
      <w:r>
        <w:rPr>
          <w:szCs w:val="22"/>
          <w:lang w:val="lv-LV"/>
        </w:rPr>
        <w:t>Piegādātājs nevar nodot Līguma saistību izpildi trešajām personām bez Pircēja iepriekšējas rakstiskas piekrišanas.</w:t>
      </w:r>
    </w:p>
    <w:p>
      <w:pPr>
        <w:numPr>
          <w:ilvl w:val="1"/>
          <w:numId w:val="2"/>
        </w:numPr>
        <w:spacing w:before="120" w:after="120"/>
        <w:ind w:left="600" w:hanging="567"/>
        <w:jc w:val="both"/>
        <w:rPr>
          <w:szCs w:val="22"/>
          <w:lang w:val="lv-LV"/>
        </w:rPr>
      </w:pPr>
      <w:r>
        <w:rPr>
          <w:szCs w:val="22"/>
          <w:lang w:val="lv-LV"/>
        </w:rPr>
        <w:t>Juridiskās adreses vai bankas rekvizītu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Pr>
          <w:szCs w:val="22"/>
          <w:lang w:val="lv-LV"/>
        </w:rPr>
        <w:t>.</w:t>
      </w:r>
    </w:p>
    <w:p>
      <w:pPr>
        <w:pStyle w:val="19"/>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8"/>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lang w:val="lv-LV"/>
              </w:rPr>
            </w:pPr>
            <w:r>
              <w:rPr>
                <w:rFonts w:ascii="Times New Roman" w:hAnsi="Times New Roman" w:eastAsia="Times New Roman" w:cs="Times New Roman"/>
                <w:bCs/>
                <w:sz w:val="24"/>
                <w:szCs w:val="24"/>
              </w:rPr>
              <w:t>A.Ločmele</w:t>
            </w:r>
          </w:p>
        </w:tc>
        <w:tc>
          <w:tcPr>
            <w:tcW w:w="4927" w:type="dxa"/>
          </w:tcPr>
          <w:p>
            <w:pPr>
              <w:spacing w:before="120" w:after="120"/>
              <w:jc w:val="both"/>
              <w:rPr>
                <w:b/>
                <w:lang w:val="lv-LV"/>
              </w:rPr>
            </w:pPr>
            <w:r>
              <w:rPr>
                <w:b/>
                <w:bCs/>
                <w:szCs w:val="22"/>
                <w:lang w:val="lv-LV"/>
              </w:rPr>
              <w:t>PIEGĀDĀTĀJS</w:t>
            </w:r>
            <w:r>
              <w:rPr>
                <w:szCs w:val="22"/>
                <w:lang w:val="lv-LV"/>
              </w:rPr>
              <w:t>:</w:t>
            </w:r>
            <w:r>
              <w:rPr>
                <w:b/>
                <w:lang w:val="lv-LV"/>
              </w:rPr>
              <w:t xml:space="preserve"> </w:t>
            </w:r>
          </w:p>
          <w:p>
            <w:pPr>
              <w:jc w:val="both"/>
              <w:rPr>
                <w:b/>
                <w:lang w:val="lv-LV"/>
              </w:rPr>
            </w:pPr>
            <w:r>
              <w:rPr>
                <w:b/>
                <w:color w:val="363636"/>
                <w:lang w:val="lv-LV"/>
              </w:rPr>
              <w:t xml:space="preserve">SIA </w:t>
            </w:r>
            <w:r>
              <w:rPr>
                <w:b/>
                <w:lang w:val="lv-LV"/>
              </w:rPr>
              <w:t>„Medeksperts”</w:t>
            </w:r>
          </w:p>
          <w:p>
            <w:pPr>
              <w:jc w:val="both"/>
              <w:rPr>
                <w:b/>
                <w:lang w:val="lv-LV"/>
              </w:rPr>
            </w:pPr>
          </w:p>
          <w:p>
            <w:pPr>
              <w:jc w:val="both"/>
              <w:rPr>
                <w:lang w:val="lv-LV"/>
              </w:rPr>
            </w:pPr>
            <w:r>
              <w:rPr>
                <w:lang w:val="lv-LV"/>
              </w:rPr>
              <w:t>Ūnijas iela 8A, Rīga, LV-1084</w:t>
            </w:r>
          </w:p>
          <w:p>
            <w:pPr>
              <w:jc w:val="both"/>
              <w:rPr>
                <w:lang w:val="lv-LV"/>
              </w:rPr>
            </w:pPr>
            <w:r>
              <w:rPr>
                <w:lang w:val="lv-LV"/>
              </w:rPr>
              <w:t>Reģ. Nr. 50003336771</w:t>
            </w:r>
          </w:p>
          <w:p>
            <w:pPr>
              <w:pStyle w:val="14"/>
              <w:jc w:val="left"/>
              <w:rPr>
                <w:rFonts w:ascii="Times New Roman" w:hAnsi="Times New Roman"/>
                <w:b w:val="0"/>
              </w:rPr>
            </w:pPr>
            <w:r>
              <w:rPr>
                <w:rFonts w:ascii="Times New Roman" w:hAnsi="Times New Roman"/>
                <w:b w:val="0"/>
              </w:rPr>
              <w:t>Banka: LUMINOR  Bank Latvijas filiāle</w:t>
            </w:r>
          </w:p>
          <w:p>
            <w:pPr>
              <w:pStyle w:val="14"/>
              <w:jc w:val="left"/>
              <w:rPr>
                <w:rFonts w:ascii="Times New Roman" w:hAnsi="Times New Roman"/>
                <w:b w:val="0"/>
              </w:rPr>
            </w:pPr>
            <w:r>
              <w:rPr>
                <w:rFonts w:ascii="Times New Roman" w:hAnsi="Times New Roman"/>
                <w:b w:val="0"/>
              </w:rPr>
              <w:t>Bankas kods RIKOLV2X</w:t>
            </w:r>
          </w:p>
          <w:p>
            <w:pPr>
              <w:rPr>
                <w:lang w:val="lv-LV"/>
              </w:rPr>
            </w:pPr>
            <w:r>
              <w:rPr>
                <w:lang w:val="lv-LV"/>
              </w:rPr>
              <w:t>Konta Nr. LV16RIKO0002930273981</w:t>
            </w:r>
          </w:p>
          <w:p>
            <w:pPr>
              <w:pStyle w:val="5"/>
              <w:spacing w:before="160" w:after="0"/>
              <w:rPr>
                <w:bCs/>
                <w:i/>
                <w:lang w:val="lv-LV"/>
              </w:rPr>
            </w:pPr>
            <w:r>
              <w:rPr>
                <w:bCs/>
                <w:i/>
                <w:lang w:val="lv-LV"/>
              </w:rPr>
              <w:t>____________________________</w:t>
            </w:r>
          </w:p>
          <w:p>
            <w:pPr>
              <w:jc w:val="both"/>
              <w:rPr>
                <w:szCs w:val="22"/>
                <w:lang w:val="lv-LV"/>
              </w:rPr>
            </w:pPr>
            <w:r>
              <w:rPr>
                <w:szCs w:val="22"/>
                <w:lang w:val="lv-LV"/>
              </w:rPr>
              <w:t>I. Spriņģis</w:t>
            </w:r>
          </w:p>
        </w:tc>
      </w:tr>
    </w:tbl>
    <w:p>
      <w:pPr>
        <w:pStyle w:val="5"/>
        <w:tabs>
          <w:tab w:val="left" w:pos="3084"/>
        </w:tabs>
        <w:spacing w:before="120"/>
        <w:jc w:val="center"/>
        <w:rPr>
          <w:caps/>
          <w:lang w:val="lv-LV"/>
        </w:rPr>
        <w:sectPr>
          <w:footerReference r:id="rId5" w:type="default"/>
          <w:footerReference r:id="rId6" w:type="even"/>
          <w:pgSz w:w="11906" w:h="16838"/>
          <w:pgMar w:top="1134" w:right="851" w:bottom="737" w:left="1418" w:header="284" w:footer="284" w:gutter="0"/>
          <w:pgNumType w:start="1"/>
          <w:cols w:space="708" w:num="1"/>
          <w:titlePg/>
          <w:docGrid w:linePitch="326" w:charSpace="0"/>
        </w:sectPr>
      </w:pPr>
      <w:r>
        <w:rPr>
          <w:caps/>
          <w:lang w:val="lv-LV"/>
        </w:rPr>
        <w:t>ŠIS Dokuments ir parakstīts ar drošu elektronisko parakstu un satur laika zīmogu</w:t>
      </w:r>
    </w:p>
    <w:p>
      <w:pPr>
        <w:pStyle w:val="5"/>
        <w:tabs>
          <w:tab w:val="left" w:pos="3084"/>
        </w:tabs>
        <w:spacing w:before="120"/>
        <w:jc w:val="center"/>
        <w:rPr>
          <w:lang w:val="lv-LV"/>
        </w:rPr>
      </w:pPr>
    </w:p>
    <w:sectPr>
      <w:footerReference r:id="rId7" w:type="default"/>
      <w:footerReference r:id="rId8" w:type="even"/>
      <w:type w:val="continuous"/>
      <w:pgSz w:w="11906" w:h="16838"/>
      <w:pgMar w:top="1134" w:right="851" w:bottom="737" w:left="1418" w:header="284" w:footer="284" w:gutter="0"/>
      <w:cols w:space="708"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6</w:t>
    </w:r>
    <w:r>
      <w:rPr>
        <w:rFonts w:ascii="Times New Roman" w:hAnsi="Times New Roman"/>
        <w:sz w:val="20"/>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00FF54FB"/>
    <w:multiLevelType w:val="multilevel"/>
    <w:tmpl w:val="00FF54FB"/>
    <w:lvl w:ilvl="0" w:tentative="0">
      <w:start w:val="8"/>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EFD4221"/>
    <w:multiLevelType w:val="multilevel"/>
    <w:tmpl w:val="0EFD4221"/>
    <w:lvl w:ilvl="0" w:tentative="0">
      <w:start w:val="4"/>
      <w:numFmt w:val="decimal"/>
      <w:lvlText w:val="%1."/>
      <w:lvlJc w:val="left"/>
      <w:pPr>
        <w:ind w:left="360" w:hanging="360"/>
      </w:pPr>
      <w:rPr>
        <w:rFonts w:hint="default"/>
      </w:rPr>
    </w:lvl>
    <w:lvl w:ilvl="1" w:tentative="0">
      <w:start w:val="3"/>
      <w:numFmt w:val="decimal"/>
      <w:lvlText w:val="%1.%2."/>
      <w:lvlJc w:val="left"/>
      <w:pPr>
        <w:ind w:left="1778" w:hanging="36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3">
    <w:nsid w:val="17B662C1"/>
    <w:multiLevelType w:val="multilevel"/>
    <w:tmpl w:val="17B662C1"/>
    <w:lvl w:ilvl="0" w:tentative="0">
      <w:start w:val="1"/>
      <w:numFmt w:val="decimal"/>
      <w:lvlText w:val="%1."/>
      <w:lvlJc w:val="left"/>
      <w:pPr>
        <w:ind w:left="360" w:hanging="360"/>
      </w:pPr>
      <w:rPr>
        <w:rFonts w:hint="default"/>
      </w:rPr>
    </w:lvl>
    <w:lvl w:ilvl="1" w:tentative="0">
      <w:start w:val="1"/>
      <w:numFmt w:val="decimal"/>
      <w:lvlText w:val="%1.%2."/>
      <w:lvlJc w:val="left"/>
      <w:pPr>
        <w:ind w:left="277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6FF3962"/>
    <w:multiLevelType w:val="multilevel"/>
    <w:tmpl w:val="26FF3962"/>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5294D08"/>
    <w:multiLevelType w:val="multilevel"/>
    <w:tmpl w:val="55294D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7AC09C3"/>
    <w:multiLevelType w:val="multilevel"/>
    <w:tmpl w:val="67AC09C3"/>
    <w:lvl w:ilvl="0" w:tentative="0">
      <w:start w:val="2"/>
      <w:numFmt w:val="decimal"/>
      <w:lvlText w:val="%1."/>
      <w:lvlJc w:val="left"/>
      <w:pPr>
        <w:ind w:left="360" w:hanging="360"/>
      </w:pPr>
      <w:rPr>
        <w:rFonts w:hint="default"/>
      </w:rPr>
    </w:lvl>
    <w:lvl w:ilvl="1" w:tentative="0">
      <w:start w:val="1"/>
      <w:numFmt w:val="decimal"/>
      <w:lvlText w:val="%1.%2."/>
      <w:lvlJc w:val="left"/>
      <w:pPr>
        <w:ind w:left="1647" w:hanging="360"/>
      </w:pPr>
      <w:rPr>
        <w:rFonts w:hint="default"/>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7">
    <w:nsid w:val="717C6DB1"/>
    <w:multiLevelType w:val="multilevel"/>
    <w:tmpl w:val="717C6DB1"/>
    <w:lvl w:ilvl="0" w:tentative="0">
      <w:start w:val="2"/>
      <w:numFmt w:val="decimal"/>
      <w:lvlText w:val="%1."/>
      <w:lvlJc w:val="left"/>
      <w:pPr>
        <w:ind w:left="360" w:hanging="360"/>
      </w:pPr>
      <w:rPr>
        <w:rFonts w:hint="default"/>
      </w:rPr>
    </w:lvl>
    <w:lvl w:ilvl="1" w:tentative="0">
      <w:start w:val="1"/>
      <w:numFmt w:val="decimal"/>
      <w:lvlText w:val="%1.%2."/>
      <w:lvlJc w:val="left"/>
      <w:pPr>
        <w:ind w:left="1680" w:hanging="360"/>
      </w:pPr>
      <w:rPr>
        <w:rFonts w:hint="default"/>
        <w:b w:val="0"/>
        <w:bCs w:val="0"/>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16"/>
    <w:rsid w:val="000019A0"/>
    <w:rsid w:val="00025B37"/>
    <w:rsid w:val="00031FFE"/>
    <w:rsid w:val="00033EF3"/>
    <w:rsid w:val="00034569"/>
    <w:rsid w:val="000446FE"/>
    <w:rsid w:val="00066057"/>
    <w:rsid w:val="000725A1"/>
    <w:rsid w:val="00075D75"/>
    <w:rsid w:val="000A016A"/>
    <w:rsid w:val="000A2EB8"/>
    <w:rsid w:val="000D24FA"/>
    <w:rsid w:val="000D43D7"/>
    <w:rsid w:val="000E0CC7"/>
    <w:rsid w:val="000F1726"/>
    <w:rsid w:val="000F2CCE"/>
    <w:rsid w:val="00110739"/>
    <w:rsid w:val="001153E0"/>
    <w:rsid w:val="00137596"/>
    <w:rsid w:val="00146800"/>
    <w:rsid w:val="00175561"/>
    <w:rsid w:val="001758D1"/>
    <w:rsid w:val="001901CB"/>
    <w:rsid w:val="0019581B"/>
    <w:rsid w:val="001B040A"/>
    <w:rsid w:val="001E2B30"/>
    <w:rsid w:val="001E449D"/>
    <w:rsid w:val="001F6D45"/>
    <w:rsid w:val="00202A67"/>
    <w:rsid w:val="002168DC"/>
    <w:rsid w:val="00230BB0"/>
    <w:rsid w:val="00235618"/>
    <w:rsid w:val="00243C30"/>
    <w:rsid w:val="00244FB8"/>
    <w:rsid w:val="00251849"/>
    <w:rsid w:val="0027072D"/>
    <w:rsid w:val="00285106"/>
    <w:rsid w:val="00294D43"/>
    <w:rsid w:val="00295FB0"/>
    <w:rsid w:val="002B4687"/>
    <w:rsid w:val="0030577F"/>
    <w:rsid w:val="00326482"/>
    <w:rsid w:val="0033286B"/>
    <w:rsid w:val="00335DD7"/>
    <w:rsid w:val="00347729"/>
    <w:rsid w:val="0035732C"/>
    <w:rsid w:val="003774DC"/>
    <w:rsid w:val="003961E4"/>
    <w:rsid w:val="003F0094"/>
    <w:rsid w:val="003F2CC0"/>
    <w:rsid w:val="003F3305"/>
    <w:rsid w:val="003F3E37"/>
    <w:rsid w:val="003F626B"/>
    <w:rsid w:val="00414B79"/>
    <w:rsid w:val="00417501"/>
    <w:rsid w:val="00454232"/>
    <w:rsid w:val="00460D0D"/>
    <w:rsid w:val="004639DD"/>
    <w:rsid w:val="00465F0B"/>
    <w:rsid w:val="0048714E"/>
    <w:rsid w:val="0049331D"/>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E56F2"/>
    <w:rsid w:val="006043C1"/>
    <w:rsid w:val="00616045"/>
    <w:rsid w:val="006231AD"/>
    <w:rsid w:val="006270BB"/>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43F6C"/>
    <w:rsid w:val="00956820"/>
    <w:rsid w:val="0096201F"/>
    <w:rsid w:val="009736C3"/>
    <w:rsid w:val="009A2D4D"/>
    <w:rsid w:val="009A3230"/>
    <w:rsid w:val="009E5DF5"/>
    <w:rsid w:val="00A05C81"/>
    <w:rsid w:val="00A531E2"/>
    <w:rsid w:val="00A840D3"/>
    <w:rsid w:val="00A93F43"/>
    <w:rsid w:val="00A9682B"/>
    <w:rsid w:val="00A97BA8"/>
    <w:rsid w:val="00AB1A51"/>
    <w:rsid w:val="00AD01C7"/>
    <w:rsid w:val="00AE3759"/>
    <w:rsid w:val="00AE522D"/>
    <w:rsid w:val="00AF5B60"/>
    <w:rsid w:val="00B00155"/>
    <w:rsid w:val="00B206CD"/>
    <w:rsid w:val="00B372E9"/>
    <w:rsid w:val="00B44C23"/>
    <w:rsid w:val="00B45EA8"/>
    <w:rsid w:val="00B53A9E"/>
    <w:rsid w:val="00B57D6E"/>
    <w:rsid w:val="00B71162"/>
    <w:rsid w:val="00B85BB4"/>
    <w:rsid w:val="00BA3D21"/>
    <w:rsid w:val="00BB3549"/>
    <w:rsid w:val="00BE4116"/>
    <w:rsid w:val="00BE4ADE"/>
    <w:rsid w:val="00BF0FCA"/>
    <w:rsid w:val="00BF225D"/>
    <w:rsid w:val="00C3034E"/>
    <w:rsid w:val="00C51C05"/>
    <w:rsid w:val="00C544CB"/>
    <w:rsid w:val="00C6652F"/>
    <w:rsid w:val="00C82273"/>
    <w:rsid w:val="00C8344D"/>
    <w:rsid w:val="00C83DC6"/>
    <w:rsid w:val="00CA47AE"/>
    <w:rsid w:val="00CD7BAB"/>
    <w:rsid w:val="00CF1D2A"/>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2465"/>
    <w:rsid w:val="0CE55179"/>
    <w:rsid w:val="72C4712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rPr>
      <w:rFonts w:ascii="Tahoma" w:hAnsi="Tahoma" w:cs="Tahoma"/>
      <w:sz w:val="16"/>
      <w:szCs w:val="16"/>
    </w:rPr>
  </w:style>
  <w:style w:type="paragraph" w:styleId="5">
    <w:name w:val="Body Text"/>
    <w:basedOn w:val="1"/>
    <w:link w:val="18"/>
    <w:qFormat/>
    <w:uiPriority w:val="0"/>
    <w:pPr>
      <w:spacing w:after="120"/>
    </w:pPr>
  </w:style>
  <w:style w:type="paragraph" w:styleId="6">
    <w:name w:val="Body Text Indent"/>
    <w:basedOn w:val="1"/>
    <w:link w:val="17"/>
    <w:uiPriority w:val="0"/>
    <w:pPr>
      <w:ind w:firstLine="720"/>
      <w:jc w:val="both"/>
    </w:pPr>
    <w:rPr>
      <w:szCs w:val="22"/>
      <w:lang w:val="lv-LV"/>
    </w:rPr>
  </w:style>
  <w:style w:type="character" w:styleId="7">
    <w:name w:val="annotation reference"/>
    <w:basedOn w:val="2"/>
    <w:semiHidden/>
    <w:unhideWhenUsed/>
    <w:qFormat/>
    <w:uiPriority w:val="99"/>
    <w:rPr>
      <w:sz w:val="16"/>
      <w:szCs w:val="16"/>
    </w:rPr>
  </w:style>
  <w:style w:type="paragraph" w:styleId="8">
    <w:name w:val="annotation text"/>
    <w:basedOn w:val="1"/>
    <w:link w:val="20"/>
    <w:semiHidden/>
    <w:unhideWhenUsed/>
    <w:qFormat/>
    <w:uiPriority w:val="99"/>
    <w:rPr>
      <w:sz w:val="20"/>
      <w:szCs w:val="20"/>
    </w:rPr>
  </w:style>
  <w:style w:type="paragraph" w:styleId="9">
    <w:name w:val="annotation subject"/>
    <w:basedOn w:val="8"/>
    <w:next w:val="8"/>
    <w:link w:val="21"/>
    <w:semiHidden/>
    <w:unhideWhenUsed/>
    <w:qFormat/>
    <w:uiPriority w:val="99"/>
    <w:rPr>
      <w:b/>
      <w:bCs/>
    </w:rPr>
  </w:style>
  <w:style w:type="paragraph" w:styleId="10">
    <w:name w:val="footer"/>
    <w:basedOn w:val="1"/>
    <w:link w:val="16"/>
    <w:qFormat/>
    <w:uiPriority w:val="99"/>
    <w:pPr>
      <w:tabs>
        <w:tab w:val="center" w:pos="4320"/>
        <w:tab w:val="right" w:pos="8640"/>
      </w:tabs>
    </w:pPr>
    <w:rPr>
      <w:rFonts w:ascii="Arial" w:hAnsi="Arial"/>
      <w:szCs w:val="20"/>
      <w:lang w:val="en-AU"/>
    </w:rPr>
  </w:style>
  <w:style w:type="character" w:styleId="11">
    <w:name w:val="Hyperlink"/>
    <w:basedOn w:val="2"/>
    <w:unhideWhenUsed/>
    <w:qFormat/>
    <w:uiPriority w:val="99"/>
    <w:rPr>
      <w:color w:val="0563C1" w:themeColor="hyperlink"/>
      <w:u w:val="single"/>
      <w14:textFill>
        <w14:solidFill>
          <w14:schemeClr w14:val="hlink"/>
        </w14:solidFill>
      </w14:textFill>
    </w:rPr>
  </w:style>
  <w:style w:type="character" w:styleId="12">
    <w:name w:val="page number"/>
    <w:basedOn w:val="2"/>
    <w:qFormat/>
    <w:uiPriority w:val="0"/>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5"/>
    <w:qFormat/>
    <w:uiPriority w:val="0"/>
    <w:pPr>
      <w:jc w:val="center"/>
    </w:pPr>
    <w:rPr>
      <w:rFonts w:ascii="Arial" w:hAnsi="Arial"/>
      <w:b/>
      <w:lang w:val="lv-LV" w:eastAsia="ru-RU"/>
    </w:rPr>
  </w:style>
  <w:style w:type="character" w:customStyle="1" w:styleId="15">
    <w:name w:val="Title Char"/>
    <w:basedOn w:val="2"/>
    <w:link w:val="14"/>
    <w:uiPriority w:val="0"/>
    <w:rPr>
      <w:rFonts w:ascii="Arial" w:hAnsi="Arial" w:cs="Times New Roman"/>
      <w:b/>
      <w:sz w:val="24"/>
      <w:szCs w:val="24"/>
      <w:lang w:eastAsia="ru-RU"/>
    </w:rPr>
  </w:style>
  <w:style w:type="character" w:customStyle="1" w:styleId="16">
    <w:name w:val="Footer Char"/>
    <w:basedOn w:val="2"/>
    <w:link w:val="10"/>
    <w:qFormat/>
    <w:uiPriority w:val="99"/>
    <w:rPr>
      <w:rFonts w:ascii="Arial" w:hAnsi="Arial" w:cs="Times New Roman"/>
      <w:sz w:val="24"/>
      <w:szCs w:val="20"/>
      <w:lang w:val="en-AU"/>
    </w:rPr>
  </w:style>
  <w:style w:type="character" w:customStyle="1" w:styleId="17">
    <w:name w:val="Body Text Indent Char"/>
    <w:basedOn w:val="2"/>
    <w:link w:val="6"/>
    <w:qFormat/>
    <w:uiPriority w:val="0"/>
    <w:rPr>
      <w:rFonts w:ascii="Times New Roman" w:hAnsi="Times New Roman" w:cs="Times New Roman"/>
      <w:sz w:val="24"/>
    </w:rPr>
  </w:style>
  <w:style w:type="character" w:customStyle="1" w:styleId="18">
    <w:name w:val="Body Text Char"/>
    <w:basedOn w:val="2"/>
    <w:link w:val="5"/>
    <w:qFormat/>
    <w:uiPriority w:val="0"/>
    <w:rPr>
      <w:rFonts w:ascii="Times New Roman" w:hAnsi="Times New Roman" w:cs="Times New Roman"/>
      <w:sz w:val="24"/>
      <w:szCs w:val="24"/>
      <w:lang w:val="en-US"/>
    </w:rPr>
  </w:style>
  <w:style w:type="paragraph" w:styleId="19">
    <w:name w:val="List Paragraph"/>
    <w:basedOn w:val="1"/>
    <w:qFormat/>
    <w:uiPriority w:val="34"/>
    <w:pPr>
      <w:ind w:left="720"/>
      <w:contextualSpacing/>
    </w:pPr>
  </w:style>
  <w:style w:type="character" w:customStyle="1" w:styleId="20">
    <w:name w:val="Comment Text Char"/>
    <w:basedOn w:val="2"/>
    <w:link w:val="8"/>
    <w:semiHidden/>
    <w:qFormat/>
    <w:uiPriority w:val="99"/>
    <w:rPr>
      <w:rFonts w:ascii="Times New Roman" w:hAnsi="Times New Roman" w:cs="Times New Roman"/>
      <w:sz w:val="20"/>
      <w:szCs w:val="20"/>
      <w:lang w:val="en-US"/>
    </w:rPr>
  </w:style>
  <w:style w:type="character" w:customStyle="1" w:styleId="21">
    <w:name w:val="Comment Subject Char"/>
    <w:basedOn w:val="20"/>
    <w:link w:val="9"/>
    <w:semiHidden/>
    <w:qFormat/>
    <w:uiPriority w:val="99"/>
    <w:rPr>
      <w:rFonts w:ascii="Times New Roman" w:hAnsi="Times New Roman" w:cs="Times New Roman"/>
      <w:b/>
      <w:bCs/>
      <w:sz w:val="20"/>
      <w:szCs w:val="20"/>
      <w:lang w:val="en-US"/>
    </w:rPr>
  </w:style>
  <w:style w:type="character" w:customStyle="1" w:styleId="22">
    <w:name w:val="Balloon Text Char"/>
    <w:basedOn w:val="2"/>
    <w:link w:val="4"/>
    <w:semiHidden/>
    <w:qFormat/>
    <w:uiPriority w:val="99"/>
    <w:rPr>
      <w:rFonts w:ascii="Tahoma" w:hAnsi="Tahoma" w:cs="Tahoma"/>
      <w:sz w:val="16"/>
      <w:szCs w:val="16"/>
      <w:lang w:val="en-US"/>
    </w:rPr>
  </w:style>
  <w:style w:type="character" w:customStyle="1" w:styleId="23">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A6248-3EC1-4E52-9426-F8237954C341}">
  <ds:schemaRefs/>
</ds:datastoreItem>
</file>

<file path=docProps/app.xml><?xml version="1.0" encoding="utf-8"?>
<Properties xmlns="http://schemas.openxmlformats.org/officeDocument/2006/extended-properties" xmlns:vt="http://schemas.openxmlformats.org/officeDocument/2006/docPropsVTypes">
  <Template>Normal</Template>
  <Pages>6</Pages>
  <Words>10880</Words>
  <Characters>6203</Characters>
  <Lines>51</Lines>
  <Paragraphs>34</Paragraphs>
  <TotalTime>1</TotalTime>
  <ScaleCrop>false</ScaleCrop>
  <LinksUpToDate>false</LinksUpToDate>
  <CharactersWithSpaces>17049</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2021-02-24T22:33:00Z</dcterms:created>
  <dc:creator>Aija Jekabsone-Lasenberga</dc:creator>
  <cp:lastModifiedBy>Admin</cp:lastModifiedBy>
  <dcterms:modified xsi:type="dcterms:W3CDTF">2021-04-01T11:06:35Z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