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775CAA">
        <w:rPr>
          <w:rFonts w:ascii="Times New Roman" w:eastAsia="Times New Roman" w:hAnsi="Times New Roman"/>
          <w:sz w:val="24"/>
          <w:szCs w:val="24"/>
        </w:rPr>
        <w:t>a līguma Nr. SKUS 719/17-Med</w:t>
      </w:r>
      <w:bookmarkStart w:id="0" w:name="_GoBack"/>
      <w:bookmarkEnd w:id="0"/>
    </w:p>
    <w:p w:rsidR="001178CB" w:rsidRDefault="001178CB" w:rsidP="00536BD4">
      <w:pPr>
        <w:ind w:right="-6"/>
        <w:rPr>
          <w:rFonts w:ascii="Times New Roman" w:eastAsia="Times New Roman" w:hAnsi="Times New Roman"/>
          <w:sz w:val="24"/>
          <w:szCs w:val="24"/>
        </w:rPr>
      </w:pPr>
    </w:p>
    <w:p w:rsidR="00E358D0" w:rsidRPr="001178CB" w:rsidRDefault="00E358D0"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432C02" w:rsidP="00536BD4">
      <w:pPr>
        <w:spacing w:after="120"/>
        <w:ind w:right="-1050"/>
        <w:jc w:val="both"/>
        <w:rPr>
          <w:rFonts w:ascii="Times New Roman" w:eastAsia="Times New Roman" w:hAnsi="Times New Roman"/>
          <w:sz w:val="24"/>
          <w:szCs w:val="24"/>
        </w:rPr>
      </w:pPr>
      <w:r w:rsidRPr="00372CBB">
        <w:rPr>
          <w:rFonts w:ascii="Times New Roman" w:eastAsia="Times New Roman" w:hAnsi="Times New Roman"/>
          <w:b/>
          <w:color w:val="000000"/>
          <w:sz w:val="24"/>
          <w:szCs w:val="24"/>
        </w:rPr>
        <w:t>SIA „</w:t>
      </w:r>
      <w:proofErr w:type="spellStart"/>
      <w:r w:rsidRPr="00372CBB">
        <w:rPr>
          <w:rFonts w:ascii="Times New Roman" w:eastAsia="Times New Roman" w:hAnsi="Times New Roman"/>
          <w:b/>
          <w:color w:val="000000"/>
          <w:sz w:val="24"/>
          <w:szCs w:val="24"/>
        </w:rPr>
        <w:t>MedBalt</w:t>
      </w:r>
      <w:proofErr w:type="spellEnd"/>
      <w:r w:rsidRPr="00372CBB">
        <w:rPr>
          <w:rFonts w:ascii="Times New Roman" w:eastAsia="Times New Roman" w:hAnsi="Times New Roman"/>
          <w:b/>
          <w:color w:val="000000"/>
          <w:sz w:val="24"/>
          <w:szCs w:val="24"/>
        </w:rPr>
        <w:t>”</w:t>
      </w:r>
      <w:r w:rsidRPr="00372CBB">
        <w:rPr>
          <w:rFonts w:ascii="Times New Roman" w:eastAsia="Times New Roman" w:hAnsi="Times New Roman"/>
          <w:color w:val="000000"/>
          <w:sz w:val="24"/>
          <w:szCs w:val="24"/>
        </w:rPr>
        <w:t>,</w:t>
      </w:r>
      <w:r w:rsidRPr="00372CBB">
        <w:rPr>
          <w:rFonts w:ascii="Times New Roman" w:eastAsia="Times New Roman" w:hAnsi="Times New Roman"/>
          <w:b/>
          <w:color w:val="000000"/>
          <w:sz w:val="24"/>
          <w:szCs w:val="24"/>
        </w:rPr>
        <w:t xml:space="preserve"> </w:t>
      </w:r>
      <w:r w:rsidRPr="00372CBB">
        <w:rPr>
          <w:rFonts w:ascii="Times New Roman" w:eastAsia="Times New Roman" w:hAnsi="Times New Roman"/>
          <w:color w:val="000000"/>
          <w:sz w:val="24"/>
          <w:szCs w:val="24"/>
        </w:rPr>
        <w:t>reģistrācijas numurs:</w:t>
      </w:r>
      <w:r w:rsidRPr="00372CBB">
        <w:rPr>
          <w:rFonts w:ascii="Times New Roman" w:eastAsia="Times New Roman" w:hAnsi="Times New Roman"/>
          <w:b/>
          <w:color w:val="000000"/>
          <w:sz w:val="24"/>
          <w:szCs w:val="24"/>
        </w:rPr>
        <w:t xml:space="preserve"> </w:t>
      </w:r>
      <w:r w:rsidRPr="00372CBB">
        <w:rPr>
          <w:rFonts w:ascii="Times New Roman" w:hAnsi="Times New Roman"/>
          <w:sz w:val="24"/>
          <w:szCs w:val="24"/>
        </w:rPr>
        <w:t>40103676146,</w:t>
      </w:r>
      <w:r w:rsidRPr="00372CBB">
        <w:rPr>
          <w:rFonts w:ascii="Times New Roman" w:eastAsia="Times New Roman" w:hAnsi="Times New Roman"/>
          <w:b/>
          <w:color w:val="000000"/>
          <w:sz w:val="24"/>
          <w:szCs w:val="24"/>
        </w:rPr>
        <w:t xml:space="preserve"> </w:t>
      </w:r>
      <w:r w:rsidRPr="00372CBB">
        <w:rPr>
          <w:rFonts w:ascii="Times New Roman" w:eastAsia="Times New Roman" w:hAnsi="Times New Roman"/>
          <w:color w:val="000000"/>
          <w:sz w:val="24"/>
          <w:szCs w:val="24"/>
        </w:rPr>
        <w:t>juridiskā adrese:</w:t>
      </w:r>
      <w:r w:rsidRPr="00372CBB">
        <w:rPr>
          <w:rFonts w:ascii="Times New Roman" w:eastAsia="Calibri" w:hAnsi="Times New Roman"/>
          <w:sz w:val="24"/>
          <w:szCs w:val="24"/>
        </w:rPr>
        <w:t xml:space="preserve"> : Rīga, Krasta iela 86 - 7, LV 1019, direktores Alises Amoliņas</w:t>
      </w:r>
      <w:r w:rsidRPr="00372CBB">
        <w:rPr>
          <w:rFonts w:ascii="Times New Roman" w:eastAsia="Times New Roman" w:hAnsi="Times New Roman"/>
          <w:b/>
          <w:bCs/>
          <w:color w:val="000000"/>
          <w:sz w:val="24"/>
          <w:szCs w:val="24"/>
        </w:rPr>
        <w:t xml:space="preserve"> </w:t>
      </w:r>
      <w:r w:rsidRPr="00372CBB">
        <w:rPr>
          <w:rFonts w:ascii="Times New Roman" w:eastAsia="Times New Roman" w:hAnsi="Times New Roman"/>
          <w:sz w:val="24"/>
          <w:szCs w:val="24"/>
        </w:rPr>
        <w:t>personā, kura rīkojas uz pilnvaras</w:t>
      </w:r>
      <w:r w:rsidRPr="00586B74">
        <w:rPr>
          <w:rFonts w:ascii="Times New Roman" w:eastAsia="Times New Roman" w:hAnsi="Times New Roman"/>
          <w:sz w:val="24"/>
          <w:szCs w:val="24"/>
        </w:rPr>
        <w:t xml:space="preserve"> Nr. P-28/2017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E358D0">
        <w:rPr>
          <w:rFonts w:ascii="Times New Roman" w:eastAsia="Times New Roman" w:hAnsi="Times New Roman"/>
          <w:sz w:val="24"/>
          <w:szCs w:val="24"/>
        </w:rPr>
        <w:t xml:space="preserve">zums, vienas vienības cena </w:t>
      </w:r>
      <w:proofErr w:type="spellStart"/>
      <w:r w:rsidR="00E358D0" w:rsidRPr="00E358D0">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178CB" w:rsidRPr="001178CB" w:rsidRDefault="001178CB" w:rsidP="00536BD4">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432C02">
        <w:rPr>
          <w:rFonts w:ascii="Times New Roman" w:eastAsia="Times New Roman" w:hAnsi="Times New Roman"/>
          <w:sz w:val="24"/>
          <w:szCs w:val="24"/>
        </w:rPr>
        <w:t xml:space="preserve">– </w:t>
      </w:r>
      <w:r w:rsidR="00432C02" w:rsidRPr="00982333">
        <w:rPr>
          <w:rFonts w:ascii="Times New Roman" w:eastAsia="Times New Roman" w:hAnsi="Times New Roman"/>
          <w:sz w:val="24"/>
          <w:szCs w:val="24"/>
        </w:rPr>
        <w:t>Alise Amoliņa, tālrunis: 26621175 vai 37133698; elektroniskais pasts: alise@medbalt.com.</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B55CD5" w:rsidRPr="00B55CD5">
        <w:rPr>
          <w:rFonts w:ascii="Times New Roman" w:eastAsia="Calibri" w:hAnsi="Times New Roman"/>
          <w:color w:val="000000"/>
          <w:sz w:val="24"/>
          <w:szCs w:val="24"/>
          <w:lang w:eastAsia="lv-LV"/>
        </w:rPr>
        <w:t>12 (divpadsmit</w:t>
      </w:r>
      <w:r w:rsidRPr="00B55CD5">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6635CC" w:rsidRPr="006635CC">
        <w:rPr>
          <w:rFonts w:ascii="Times New Roman" w:eastAsia="Times New Roman" w:hAnsi="Times New Roman"/>
          <w:sz w:val="24"/>
          <w:szCs w:val="24"/>
        </w:rPr>
        <w:t>7 (septiņām</w:t>
      </w:r>
      <w:r w:rsidRPr="006635CC">
        <w:rPr>
          <w:rFonts w:ascii="Times New Roman" w:eastAsia="Times New Roman" w:hAnsi="Times New Roman"/>
          <w:sz w:val="24"/>
          <w:szCs w:val="24"/>
        </w:rPr>
        <w:t xml:space="preserve">) lapām, tajā skaitā pielikums uz </w:t>
      </w:r>
      <w:r w:rsidR="006635CC" w:rsidRPr="006635CC">
        <w:rPr>
          <w:rFonts w:ascii="Times New Roman" w:eastAsia="Times New Roman" w:hAnsi="Times New Roman"/>
          <w:sz w:val="24"/>
          <w:szCs w:val="24"/>
        </w:rPr>
        <w:t>2 (divām</w:t>
      </w:r>
      <w:r w:rsidRPr="006635CC">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sidR="00396C65">
              <w:rPr>
                <w:rFonts w:ascii="Times New Roman" w:eastAsia="Times New Roman" w:hAnsi="Times New Roman"/>
                <w:b/>
                <w:sz w:val="24"/>
                <w:szCs w:val="24"/>
              </w:rPr>
              <w:t>MedBalt</w:t>
            </w:r>
            <w:proofErr w:type="spellEnd"/>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396C65" w:rsidRPr="00F85BC5" w:rsidRDefault="00396C65" w:rsidP="00396C65">
            <w:pPr>
              <w:ind w:right="-1049"/>
              <w:outlineLvl w:val="6"/>
              <w:rPr>
                <w:rFonts w:ascii="Times New Roman" w:eastAsia="Times New Roman" w:hAnsi="Times New Roman"/>
                <w:sz w:val="24"/>
                <w:szCs w:val="24"/>
              </w:rPr>
            </w:pPr>
            <w:proofErr w:type="spellStart"/>
            <w:r w:rsidRPr="00F85BC5">
              <w:rPr>
                <w:rFonts w:ascii="Times New Roman" w:eastAsia="Times New Roman" w:hAnsi="Times New Roman"/>
                <w:sz w:val="24"/>
                <w:szCs w:val="24"/>
              </w:rPr>
              <w:t>Reģ</w:t>
            </w:r>
            <w:proofErr w:type="spellEnd"/>
            <w:r w:rsidRPr="00F85BC5">
              <w:rPr>
                <w:rFonts w:ascii="Times New Roman" w:eastAsia="Times New Roman" w:hAnsi="Times New Roman"/>
                <w:sz w:val="24"/>
                <w:szCs w:val="24"/>
              </w:rPr>
              <w:t xml:space="preserve">. Nr.: </w:t>
            </w:r>
            <w:r w:rsidRPr="00F85BC5">
              <w:rPr>
                <w:rFonts w:ascii="Times New Roman" w:hAnsi="Times New Roman"/>
                <w:sz w:val="24"/>
                <w:szCs w:val="24"/>
              </w:rPr>
              <w:t>40103676146</w:t>
            </w:r>
          </w:p>
          <w:p w:rsidR="00396C65" w:rsidRPr="00F85BC5" w:rsidRDefault="00396C65" w:rsidP="00396C65">
            <w:pPr>
              <w:ind w:right="-1049"/>
              <w:jc w:val="both"/>
              <w:rPr>
                <w:rFonts w:ascii="Times New Roman" w:eastAsia="Times New Roman" w:hAnsi="Times New Roman"/>
                <w:iCs/>
                <w:sz w:val="24"/>
                <w:szCs w:val="24"/>
              </w:rPr>
            </w:pPr>
            <w:r w:rsidRPr="00F85BC5">
              <w:rPr>
                <w:rFonts w:ascii="Times New Roman" w:eastAsia="Times New Roman" w:hAnsi="Times New Roman"/>
                <w:iCs/>
                <w:sz w:val="24"/>
                <w:szCs w:val="24"/>
              </w:rPr>
              <w:t xml:space="preserve">Juridiskā adrese: </w:t>
            </w:r>
            <w:r w:rsidRPr="00F85BC5">
              <w:rPr>
                <w:rFonts w:ascii="Times New Roman" w:hAnsi="Times New Roman"/>
                <w:sz w:val="24"/>
                <w:szCs w:val="24"/>
              </w:rPr>
              <w:t>Krasta iela 86 - 7, Rīga, LV 1019</w:t>
            </w:r>
          </w:p>
          <w:p w:rsidR="00396C65" w:rsidRPr="00F85BC5" w:rsidRDefault="00396C65" w:rsidP="00396C65">
            <w:pPr>
              <w:tabs>
                <w:tab w:val="left" w:pos="4395"/>
              </w:tabs>
              <w:ind w:right="-1049"/>
              <w:rPr>
                <w:rFonts w:ascii="Times New Roman" w:eastAsia="Times New Roman" w:hAnsi="Times New Roman"/>
                <w:sz w:val="24"/>
                <w:szCs w:val="24"/>
              </w:rPr>
            </w:pPr>
            <w:r w:rsidRPr="00F85BC5">
              <w:rPr>
                <w:rFonts w:ascii="Times New Roman" w:eastAsia="Times New Roman" w:hAnsi="Times New Roman"/>
                <w:iCs/>
                <w:sz w:val="24"/>
                <w:szCs w:val="24"/>
              </w:rPr>
              <w:t xml:space="preserve">Banka: </w:t>
            </w:r>
            <w:r w:rsidRPr="00F85BC5">
              <w:rPr>
                <w:rFonts w:ascii="Times New Roman" w:hAnsi="Times New Roman"/>
                <w:sz w:val="24"/>
                <w:szCs w:val="24"/>
              </w:rPr>
              <w:t>AS Swedbank</w:t>
            </w:r>
          </w:p>
          <w:p w:rsidR="00396C65" w:rsidRPr="00F85BC5" w:rsidRDefault="00396C65" w:rsidP="00396C65">
            <w:pPr>
              <w:tabs>
                <w:tab w:val="left" w:pos="4395"/>
              </w:tabs>
              <w:ind w:right="-1049"/>
              <w:rPr>
                <w:rFonts w:ascii="Times New Roman" w:eastAsia="Times New Roman" w:hAnsi="Times New Roman"/>
                <w:sz w:val="24"/>
                <w:szCs w:val="24"/>
              </w:rPr>
            </w:pPr>
            <w:r w:rsidRPr="00F85BC5">
              <w:rPr>
                <w:rFonts w:ascii="Times New Roman" w:eastAsia="Times New Roman" w:hAnsi="Times New Roman"/>
                <w:sz w:val="24"/>
                <w:szCs w:val="24"/>
              </w:rPr>
              <w:t xml:space="preserve">Bankas kods: </w:t>
            </w:r>
            <w:r w:rsidRPr="00F85BC5">
              <w:rPr>
                <w:rFonts w:ascii="Times New Roman" w:hAnsi="Times New Roman"/>
                <w:sz w:val="24"/>
                <w:szCs w:val="24"/>
              </w:rPr>
              <w:t>HABALV22</w:t>
            </w:r>
          </w:p>
          <w:p w:rsidR="00396C65" w:rsidRPr="00F85BC5" w:rsidRDefault="00396C65" w:rsidP="00396C65">
            <w:pPr>
              <w:tabs>
                <w:tab w:val="left" w:pos="4395"/>
              </w:tabs>
              <w:ind w:right="-1049"/>
              <w:rPr>
                <w:rFonts w:ascii="Times New Roman" w:eastAsia="Times New Roman" w:hAnsi="Times New Roman"/>
                <w:sz w:val="24"/>
                <w:szCs w:val="24"/>
              </w:rPr>
            </w:pPr>
            <w:r w:rsidRPr="00F85BC5">
              <w:rPr>
                <w:rFonts w:ascii="Times New Roman" w:eastAsia="Times New Roman" w:hAnsi="Times New Roman"/>
                <w:sz w:val="24"/>
                <w:szCs w:val="24"/>
              </w:rPr>
              <w:t>Konta Nr.</w:t>
            </w:r>
            <w:r w:rsidRPr="00F85BC5">
              <w:rPr>
                <w:rFonts w:ascii="Times New Roman" w:hAnsi="Times New Roman"/>
                <w:sz w:val="24"/>
                <w:szCs w:val="24"/>
              </w:rPr>
              <w:t xml:space="preserve"> LV87HABA0551036536411</w:t>
            </w:r>
          </w:p>
          <w:p w:rsidR="008D4082" w:rsidRDefault="008D408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8D4082" w:rsidRPr="001D0E7F" w:rsidRDefault="00396C65"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Direktore </w:t>
            </w:r>
            <w:proofErr w:type="spellStart"/>
            <w:r>
              <w:rPr>
                <w:rFonts w:ascii="Times New Roman" w:eastAsia="Times New Roman" w:hAnsi="Times New Roman"/>
                <w:sz w:val="24"/>
                <w:szCs w:val="24"/>
              </w:rPr>
              <w:t>A.Amoliņa</w:t>
            </w:r>
            <w:proofErr w:type="spellEnd"/>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775CAA">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75B91"/>
    <w:rsid w:val="001D0E7F"/>
    <w:rsid w:val="0022222B"/>
    <w:rsid w:val="00396C65"/>
    <w:rsid w:val="003C4942"/>
    <w:rsid w:val="003D5249"/>
    <w:rsid w:val="00421F6A"/>
    <w:rsid w:val="00432C02"/>
    <w:rsid w:val="004502AA"/>
    <w:rsid w:val="0053030F"/>
    <w:rsid w:val="00536BD4"/>
    <w:rsid w:val="005E21F7"/>
    <w:rsid w:val="005E62B6"/>
    <w:rsid w:val="006635CC"/>
    <w:rsid w:val="00730F86"/>
    <w:rsid w:val="00744A62"/>
    <w:rsid w:val="00775CA5"/>
    <w:rsid w:val="00775CAA"/>
    <w:rsid w:val="007E54C6"/>
    <w:rsid w:val="00821F7B"/>
    <w:rsid w:val="0083324A"/>
    <w:rsid w:val="00877365"/>
    <w:rsid w:val="008B6EA0"/>
    <w:rsid w:val="008D4082"/>
    <w:rsid w:val="008F7866"/>
    <w:rsid w:val="00B55CD5"/>
    <w:rsid w:val="00B6252B"/>
    <w:rsid w:val="00B95D96"/>
    <w:rsid w:val="00BA6318"/>
    <w:rsid w:val="00C057EE"/>
    <w:rsid w:val="00DB2E9C"/>
    <w:rsid w:val="00DE6290"/>
    <w:rsid w:val="00E358D0"/>
    <w:rsid w:val="00F145E9"/>
    <w:rsid w:val="00FD00C5"/>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8631</Words>
  <Characters>4921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2017-11-16T10:30:00Z</dcterms:created>
  <dcterms:modified xsi:type="dcterms:W3CDTF">2017-11-29T07:14:00Z</dcterms:modified>
</cp:coreProperties>
</file>