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131B90"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D26BB4" w:rsidP="00631D1D">
      <w:pPr>
        <w:ind w:right="-1050"/>
        <w:jc w:val="both"/>
        <w:rPr>
          <w:rFonts w:ascii="Times New Roman" w:eastAsia="Times New Roman" w:hAnsi="Times New Roman"/>
          <w:sz w:val="24"/>
          <w:szCs w:val="24"/>
        </w:rPr>
      </w:pPr>
      <w:bookmarkStart w:id="0" w:name="_Hlk496101768"/>
      <w:r w:rsidRPr="00D26BB4">
        <w:rPr>
          <w:rFonts w:ascii="Times New Roman" w:eastAsia="Times New Roman" w:hAnsi="Times New Roman"/>
          <w:b/>
          <w:bCs/>
          <w:sz w:val="24"/>
          <w:szCs w:val="24"/>
        </w:rPr>
        <w:t>SIA “B.Braun Medical”</w:t>
      </w:r>
      <w:r w:rsidRPr="00D26BB4">
        <w:rPr>
          <w:rFonts w:ascii="Times New Roman" w:eastAsia="Times New Roman" w:hAnsi="Times New Roman"/>
          <w:b/>
          <w:sz w:val="24"/>
          <w:szCs w:val="24"/>
        </w:rPr>
        <w:t>,</w:t>
      </w:r>
      <w:r w:rsidRPr="00D26BB4">
        <w:rPr>
          <w:rFonts w:ascii="Times New Roman" w:eastAsia="Times New Roman" w:hAnsi="Times New Roman"/>
          <w:sz w:val="24"/>
          <w:szCs w:val="24"/>
        </w:rPr>
        <w:t xml:space="preserve"> reģistrācijas Nr. 40003277955, tās valdes locekļa Aivara Gailīša personā, kurš rīkojas uz </w:t>
      </w:r>
      <w:r>
        <w:rPr>
          <w:rFonts w:ascii="Times New Roman" w:eastAsia="Times New Roman" w:hAnsi="Times New Roman"/>
          <w:sz w:val="24"/>
          <w:szCs w:val="24"/>
        </w:rPr>
        <w:t>Statūtu</w:t>
      </w:r>
      <w:r w:rsidRPr="00631D1D">
        <w:rPr>
          <w:rFonts w:ascii="Times New Roman" w:eastAsia="Times New Roman" w:hAnsi="Times New Roman"/>
          <w:sz w:val="24"/>
          <w:szCs w:val="24"/>
        </w:rPr>
        <w:t xml:space="preserve"> pamata</w:t>
      </w:r>
      <w:bookmarkEnd w:id="0"/>
      <w:r>
        <w:rPr>
          <w:rFonts w:ascii="Times New Roman" w:eastAsia="Times New Roman" w:hAnsi="Times New Roman"/>
          <w:sz w:val="24"/>
          <w:szCs w:val="24"/>
        </w:rPr>
        <w:t xml:space="preserve"> </w:t>
      </w:r>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42114C"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15 (piecpadsmit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42114C">
        <w:rPr>
          <w:rFonts w:ascii="Times New Roman" w:eastAsia="Times New Roman" w:hAnsi="Times New Roman"/>
          <w:sz w:val="24"/>
          <w:szCs w:val="24"/>
        </w:rPr>
        <w:t>uz 8 (astoņām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1B054A" w:rsidRPr="00884D40" w:rsidRDefault="001B054A" w:rsidP="001B054A">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,,B.Braun Medical’’</w:t>
      </w:r>
    </w:p>
    <w:p w:rsidR="001B054A" w:rsidRPr="00884D40" w:rsidRDefault="001B054A" w:rsidP="001B054A">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1B054A" w:rsidRPr="001B054A" w:rsidRDefault="001B054A" w:rsidP="001B054A">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1B054A">
        <w:rPr>
          <w:rFonts w:ascii="Times New Roman" w:eastAsia="Times New Roman" w:hAnsi="Times New Roman"/>
          <w:sz w:val="24"/>
          <w:szCs w:val="24"/>
        </w:rPr>
        <w:t>Reģ.Nr</w:t>
      </w:r>
      <w:proofErr w:type="spellEnd"/>
      <w:r w:rsidRPr="001B054A">
        <w:rPr>
          <w:rFonts w:ascii="Times New Roman" w:eastAsia="Times New Roman" w:hAnsi="Times New Roman"/>
          <w:sz w:val="24"/>
          <w:szCs w:val="24"/>
        </w:rPr>
        <w:t>. 40003277955</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Pilsoņu iela 13, Rīga, LV – 1002</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Ūdeļu iela 16, Rīga, LV-1064</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Konta Nr. </w:t>
      </w:r>
      <w:r w:rsidRPr="001B054A">
        <w:rPr>
          <w:rFonts w:ascii="Times New Roman" w:eastAsia="Times New Roman" w:hAnsi="Times New Roman"/>
          <w:bCs/>
          <w:sz w:val="24"/>
          <w:szCs w:val="24"/>
        </w:rPr>
        <w:t>LV74HABA0551027673367</w:t>
      </w:r>
      <w:r w:rsidRPr="001B054A">
        <w:rPr>
          <w:rFonts w:ascii="Times New Roman" w:eastAsia="Times New Roman" w:hAnsi="Times New Roman"/>
          <w:bCs/>
          <w:sz w:val="24"/>
          <w:szCs w:val="24"/>
        </w:rPr>
        <w:tab/>
        <w:t xml:space="preserve">Konta Nr. </w:t>
      </w:r>
      <w:r w:rsidR="00190DDA">
        <w:rPr>
          <w:rFonts w:ascii="Times New Roman" w:eastAsia="Times New Roman" w:hAnsi="Times New Roman"/>
          <w:bCs/>
          <w:sz w:val="24"/>
          <w:szCs w:val="24"/>
        </w:rPr>
        <w:t>_______________</w:t>
      </w:r>
    </w:p>
    <w:p w:rsidR="00190DD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Banka: AS Swedbank  </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 xml:space="preserve">Banka: </w:t>
      </w:r>
      <w:r w:rsidR="00190DDA">
        <w:rPr>
          <w:rFonts w:ascii="Times New Roman" w:eastAsia="Times New Roman" w:hAnsi="Times New Roman"/>
          <w:sz w:val="24"/>
          <w:szCs w:val="24"/>
        </w:rPr>
        <w:t>________________</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Kods: </w:t>
      </w:r>
      <w:r w:rsidRPr="001B054A">
        <w:rPr>
          <w:rFonts w:ascii="Times New Roman" w:eastAsia="Times New Roman" w:hAnsi="Times New Roman"/>
          <w:bCs/>
          <w:sz w:val="24"/>
          <w:szCs w:val="24"/>
        </w:rPr>
        <w:t>HABALV22</w:t>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t xml:space="preserve">Kods: </w:t>
      </w:r>
      <w:r w:rsidR="00190DDA">
        <w:rPr>
          <w:rFonts w:ascii="Times New Roman" w:eastAsia="Times New Roman" w:hAnsi="Times New Roman"/>
          <w:bCs/>
          <w:sz w:val="24"/>
          <w:szCs w:val="24"/>
        </w:rPr>
        <w:t>_________________</w:t>
      </w:r>
    </w:p>
    <w:p w:rsidR="001B054A" w:rsidRPr="001B054A" w:rsidRDefault="001B054A" w:rsidP="001B054A">
      <w:pPr>
        <w:ind w:right="-999"/>
        <w:jc w:val="both"/>
        <w:rPr>
          <w:rFonts w:ascii="Times New Roman" w:eastAsia="Times New Roman" w:hAnsi="Times New Roman"/>
          <w:sz w:val="24"/>
          <w:szCs w:val="24"/>
        </w:rPr>
      </w:pPr>
    </w:p>
    <w:p w:rsidR="001B054A" w:rsidRPr="001B054A" w:rsidRDefault="001B054A" w:rsidP="001B054A">
      <w:pPr>
        <w:ind w:right="-999"/>
        <w:jc w:val="both"/>
        <w:rPr>
          <w:rFonts w:ascii="Times New Roman" w:eastAsia="Times New Roman" w:hAnsi="Times New Roman"/>
          <w:sz w:val="24"/>
          <w:szCs w:val="24"/>
        </w:rPr>
      </w:pP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___________________________</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____________________________</w:t>
      </w:r>
    </w:p>
    <w:p w:rsidR="001B054A" w:rsidRPr="00884D40"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Valdes locekle </w:t>
      </w:r>
      <w:proofErr w:type="spellStart"/>
      <w:r w:rsidRPr="001B054A">
        <w:rPr>
          <w:rFonts w:ascii="Times New Roman" w:eastAsia="Times New Roman" w:hAnsi="Times New Roman"/>
          <w:sz w:val="24"/>
          <w:szCs w:val="24"/>
        </w:rPr>
        <w:t>I.Kreicberga</w:t>
      </w:r>
      <w:proofErr w:type="spellEnd"/>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Pr>
          <w:rFonts w:ascii="Times New Roman" w:eastAsia="Times New Roman" w:hAnsi="Times New Roman"/>
          <w:sz w:val="24"/>
          <w:szCs w:val="24"/>
        </w:rPr>
        <w:t>Valdes loceklis A.</w:t>
      </w:r>
      <w:r w:rsidRPr="001B054A">
        <w:rPr>
          <w:rFonts w:ascii="Times New Roman" w:eastAsia="Times New Roman" w:hAnsi="Times New Roman"/>
          <w:sz w:val="24"/>
          <w:szCs w:val="24"/>
        </w:rPr>
        <w:t xml:space="preserve"> Gailītis</w:t>
      </w:r>
      <w:r>
        <w:rPr>
          <w:rFonts w:ascii="Times New Roman" w:eastAsia="Times New Roman" w:hAnsi="Times New Roman"/>
          <w:sz w:val="24"/>
          <w:szCs w:val="24"/>
        </w:rPr>
        <w:tab/>
      </w:r>
    </w:p>
    <w:p w:rsidR="001B054A" w:rsidRDefault="001B054A" w:rsidP="001B054A">
      <w:pPr>
        <w:spacing w:after="120"/>
        <w:ind w:right="-1050"/>
        <w:jc w:val="both"/>
        <w:rPr>
          <w:rFonts w:ascii="Times New Roman" w:eastAsia="Times New Roman" w:hAnsi="Times New Roman"/>
          <w:b/>
          <w:bCs/>
          <w:sz w:val="24"/>
          <w:szCs w:val="24"/>
        </w:rPr>
      </w:pP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1B054A" w:rsidRPr="00884D40" w:rsidRDefault="001B054A" w:rsidP="001B054A">
      <w:pPr>
        <w:spacing w:after="120"/>
        <w:ind w:right="-1050"/>
        <w:jc w:val="both"/>
        <w:rPr>
          <w:rFonts w:ascii="Times New Roman" w:eastAsia="Times New Roman" w:hAnsi="Times New Roman"/>
          <w:bCs/>
          <w:sz w:val="24"/>
          <w:szCs w:val="24"/>
        </w:rPr>
      </w:pP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1B054A" w:rsidRPr="00631D1D"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1B054A" w:rsidRPr="00631D1D" w:rsidRDefault="001B054A" w:rsidP="001B054A">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190DDA">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131B90">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131B90">
        <w:rPr>
          <w:rFonts w:ascii="Times New Roman" w:eastAsia="Times New Roman" w:hAnsi="Times New Roman"/>
          <w:b/>
          <w:bCs/>
          <w:sz w:val="24"/>
          <w:szCs w:val="24"/>
        </w:rPr>
        <w:t xml:space="preserve"> SKUS 568/18 - B</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D26BB4" w:rsidP="00631D1D">
      <w:pPr>
        <w:ind w:right="-1050"/>
        <w:jc w:val="both"/>
        <w:rPr>
          <w:rFonts w:ascii="Times New Roman" w:eastAsia="Times New Roman" w:hAnsi="Times New Roman"/>
          <w:sz w:val="24"/>
          <w:szCs w:val="24"/>
        </w:rPr>
      </w:pPr>
      <w:r w:rsidRPr="00D26BB4">
        <w:rPr>
          <w:rFonts w:ascii="Times New Roman" w:eastAsia="Times New Roman" w:hAnsi="Times New Roman"/>
          <w:b/>
          <w:bCs/>
          <w:sz w:val="24"/>
          <w:szCs w:val="24"/>
        </w:rPr>
        <w:t>SIA “B.Braun Medical”</w:t>
      </w:r>
      <w:r w:rsidRPr="00D26BB4">
        <w:rPr>
          <w:rFonts w:ascii="Times New Roman" w:eastAsia="Times New Roman" w:hAnsi="Times New Roman"/>
          <w:b/>
          <w:sz w:val="24"/>
          <w:szCs w:val="24"/>
        </w:rPr>
        <w:t>,</w:t>
      </w:r>
      <w:r w:rsidRPr="00D26BB4">
        <w:rPr>
          <w:rFonts w:ascii="Times New Roman" w:eastAsia="Times New Roman" w:hAnsi="Times New Roman"/>
          <w:sz w:val="24"/>
          <w:szCs w:val="24"/>
        </w:rPr>
        <w:t xml:space="preserve"> reģistrācijas Nr. 40003277955, tās valdes locekļa Aivara Gailīša personā, kurš rīkojas uz </w:t>
      </w:r>
      <w:r>
        <w:rPr>
          <w:rFonts w:ascii="Times New Roman" w:eastAsia="Times New Roman" w:hAnsi="Times New Roman"/>
          <w:sz w:val="24"/>
          <w:szCs w:val="24"/>
        </w:rPr>
        <w:t xml:space="preserve">Statūtu pamata </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131B90">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190DDA">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355CD2">
        <w:rPr>
          <w:rFonts w:ascii="Times New Roman" w:eastAsia="SimSun" w:hAnsi="Times New Roman"/>
          <w:sz w:val="24"/>
          <w:szCs w:val="24"/>
        </w:rPr>
        <w:t>ir</w:t>
      </w:r>
      <w:bookmarkEnd w:id="2"/>
      <w:r w:rsidR="00355CD2" w:rsidRPr="00355CD2">
        <w:rPr>
          <w:rFonts w:ascii="Times New Roman" w:eastAsia="SimSun" w:hAnsi="Times New Roman"/>
          <w:sz w:val="24"/>
          <w:szCs w:val="24"/>
        </w:rPr>
        <w:t xml:space="preserve"> 6 (seši) </w:t>
      </w:r>
      <w:r w:rsidRPr="00355CD2">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190DDA">
        <w:rPr>
          <w:rFonts w:ascii="Times New Roman" w:eastAsia="Times New Roman" w:hAnsi="Times New Roman"/>
          <w:sz w:val="24"/>
          <w:szCs w:val="24"/>
          <w:lang w:eastAsia="lv-LV"/>
        </w:rPr>
        <w:t>______________________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190DDA">
        <w:rPr>
          <w:rFonts w:ascii="Times New Roman" w:eastAsia="Times New Roman" w:hAnsi="Times New Roman"/>
          <w:sz w:val="24"/>
          <w:szCs w:val="24"/>
          <w:lang w:eastAsia="lv-LV"/>
        </w:rPr>
        <w:t>________________________</w:t>
      </w:r>
      <w:r w:rsidR="00313164" w:rsidRPr="00313164">
        <w:rPr>
          <w:rFonts w:ascii="Times New Roman" w:eastAsia="Times New Roman" w:hAnsi="Times New Roman"/>
          <w:color w:val="000000"/>
          <w:sz w:val="24"/>
          <w:szCs w:val="24"/>
        </w:rPr>
        <w:t>.</w:t>
      </w:r>
    </w:p>
    <w:p w:rsidR="00631D1D" w:rsidRPr="00631D1D" w:rsidRDefault="00131B90"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443D4E" w:rsidRPr="00443D4E" w:rsidRDefault="00631D1D" w:rsidP="00443D4E">
      <w:pPr>
        <w:numPr>
          <w:ilvl w:val="2"/>
          <w:numId w:val="3"/>
        </w:numPr>
        <w:spacing w:after="120" w:line="276" w:lineRule="auto"/>
        <w:ind w:left="709" w:right="-1050"/>
        <w:contextualSpacing/>
        <w:rPr>
          <w:rFonts w:ascii="Times New Roman" w:eastAsia="Times New Roman" w:hAnsi="Times New Roman"/>
          <w:sz w:val="24"/>
          <w:szCs w:val="24"/>
        </w:rPr>
      </w:pPr>
      <w:r w:rsidRPr="00443D4E">
        <w:rPr>
          <w:rFonts w:ascii="Times New Roman" w:eastAsia="Times New Roman" w:hAnsi="Times New Roman"/>
          <w:sz w:val="24"/>
          <w:szCs w:val="24"/>
          <w:lang w:eastAsia="lv-LV"/>
        </w:rPr>
        <w:t>Piegādātāja par Līgu</w:t>
      </w:r>
      <w:r w:rsidR="00443D4E">
        <w:rPr>
          <w:rFonts w:ascii="Times New Roman" w:eastAsia="Times New Roman" w:hAnsi="Times New Roman"/>
          <w:sz w:val="24"/>
          <w:szCs w:val="24"/>
          <w:lang w:eastAsia="lv-LV"/>
        </w:rPr>
        <w:t>ma izpildi atbildīgā persona ir</w:t>
      </w:r>
      <w:r w:rsidR="00443D4E" w:rsidRPr="0034199F">
        <w:rPr>
          <w:rFonts w:ascii="Times New Roman" w:eastAsia="Times New Roman" w:hAnsi="Times New Roman"/>
          <w:sz w:val="24"/>
          <w:szCs w:val="24"/>
          <w:lang w:eastAsia="lv-LV"/>
        </w:rPr>
        <w:t xml:space="preserve"> </w:t>
      </w:r>
      <w:r w:rsidR="00190DDA">
        <w:rPr>
          <w:rFonts w:ascii="Times New Roman" w:eastAsia="Times New Roman" w:hAnsi="Times New Roman"/>
          <w:sz w:val="24"/>
          <w:szCs w:val="24"/>
          <w:lang w:eastAsia="lv-LV"/>
        </w:rPr>
        <w:t>_______________________</w:t>
      </w:r>
      <w:r w:rsidR="00443D4E" w:rsidRPr="00443D4E">
        <w:rPr>
          <w:rFonts w:ascii="Times New Roman" w:eastAsia="Times New Roman" w:hAnsi="Times New Roman"/>
          <w:sz w:val="24"/>
          <w:szCs w:val="24"/>
          <w:lang w:eastAsia="lv-LV"/>
        </w:rPr>
        <w:t>.</w:t>
      </w:r>
    </w:p>
    <w:p w:rsidR="00631D1D" w:rsidRPr="00443D4E" w:rsidRDefault="00631D1D" w:rsidP="00443D4E">
      <w:pPr>
        <w:spacing w:after="120" w:line="276" w:lineRule="auto"/>
        <w:ind w:left="360"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42114C">
        <w:rPr>
          <w:rFonts w:ascii="Times New Roman" w:eastAsia="Times New Roman" w:hAnsi="Times New Roman"/>
          <w:snapToGrid w:val="0"/>
          <w:sz w:val="24"/>
          <w:szCs w:val="24"/>
          <w:lang w:eastAsia="lv-LV"/>
        </w:rPr>
        <w:t xml:space="preserve"> 7 (septiņām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91744F">
        <w:rPr>
          <w:rFonts w:ascii="Times New Roman" w:eastAsia="Times New Roman" w:hAnsi="Times New Roman"/>
          <w:sz w:val="24"/>
          <w:szCs w:val="24"/>
        </w:rPr>
        <w:t xml:space="preserve"> piedāvājums uz 1 (vienas) lapas</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1B054A" w:rsidRPr="00884D40" w:rsidRDefault="001B054A" w:rsidP="001B054A">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,,B.Braun Medical’’</w:t>
      </w:r>
    </w:p>
    <w:p w:rsidR="001B054A" w:rsidRPr="00884D40" w:rsidRDefault="001B054A" w:rsidP="001B054A">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1B054A" w:rsidRPr="001B054A" w:rsidRDefault="001B054A" w:rsidP="001B054A">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1B054A">
        <w:rPr>
          <w:rFonts w:ascii="Times New Roman" w:eastAsia="Times New Roman" w:hAnsi="Times New Roman"/>
          <w:sz w:val="24"/>
          <w:szCs w:val="24"/>
        </w:rPr>
        <w:t>Reģ.Nr</w:t>
      </w:r>
      <w:proofErr w:type="spellEnd"/>
      <w:r w:rsidRPr="001B054A">
        <w:rPr>
          <w:rFonts w:ascii="Times New Roman" w:eastAsia="Times New Roman" w:hAnsi="Times New Roman"/>
          <w:sz w:val="24"/>
          <w:szCs w:val="24"/>
        </w:rPr>
        <w:t>. 40003277955</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Pilsoņu iela 13, Rīga, LV – 1002</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Ūdeļu iela 16, Rīga, LV-1064</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Konta Nr. </w:t>
      </w:r>
      <w:r w:rsidRPr="001B054A">
        <w:rPr>
          <w:rFonts w:ascii="Times New Roman" w:eastAsia="Times New Roman" w:hAnsi="Times New Roman"/>
          <w:bCs/>
          <w:sz w:val="24"/>
          <w:szCs w:val="24"/>
        </w:rPr>
        <w:t>LV74HABA0551027673367</w:t>
      </w:r>
      <w:r w:rsidRPr="001B054A">
        <w:rPr>
          <w:rFonts w:ascii="Times New Roman" w:eastAsia="Times New Roman" w:hAnsi="Times New Roman"/>
          <w:bCs/>
          <w:sz w:val="24"/>
          <w:szCs w:val="24"/>
        </w:rPr>
        <w:tab/>
        <w:t xml:space="preserve">Konta Nr. </w:t>
      </w:r>
      <w:r w:rsidR="00190DDA">
        <w:rPr>
          <w:rFonts w:ascii="Times New Roman" w:eastAsia="Times New Roman" w:hAnsi="Times New Roman"/>
          <w:bCs/>
          <w:sz w:val="24"/>
          <w:szCs w:val="24"/>
        </w:rPr>
        <w:t>_________________</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Banka: AS Swedbank  </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 xml:space="preserve">Banka: </w:t>
      </w:r>
      <w:r w:rsidR="00190DDA">
        <w:rPr>
          <w:rFonts w:ascii="Times New Roman" w:eastAsia="Times New Roman" w:hAnsi="Times New Roman"/>
          <w:sz w:val="24"/>
          <w:szCs w:val="24"/>
        </w:rPr>
        <w:t>_______________</w:t>
      </w: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Kods: </w:t>
      </w:r>
      <w:r w:rsidRPr="001B054A">
        <w:rPr>
          <w:rFonts w:ascii="Times New Roman" w:eastAsia="Times New Roman" w:hAnsi="Times New Roman"/>
          <w:bCs/>
          <w:sz w:val="24"/>
          <w:szCs w:val="24"/>
        </w:rPr>
        <w:t>HABALV22</w:t>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r>
      <w:r w:rsidRPr="001B054A">
        <w:rPr>
          <w:rFonts w:ascii="Times New Roman" w:eastAsia="Times New Roman" w:hAnsi="Times New Roman"/>
          <w:bCs/>
          <w:sz w:val="24"/>
          <w:szCs w:val="24"/>
        </w:rPr>
        <w:tab/>
        <w:t xml:space="preserve">Kods: </w:t>
      </w:r>
      <w:r w:rsidR="00190DDA">
        <w:rPr>
          <w:rFonts w:ascii="Times New Roman" w:eastAsia="Times New Roman" w:hAnsi="Times New Roman"/>
          <w:bCs/>
          <w:sz w:val="24"/>
          <w:szCs w:val="24"/>
        </w:rPr>
        <w:t>__________________</w:t>
      </w:r>
    </w:p>
    <w:p w:rsidR="001B054A" w:rsidRPr="001B054A" w:rsidRDefault="001B054A" w:rsidP="001B054A">
      <w:pPr>
        <w:ind w:right="-999"/>
        <w:jc w:val="both"/>
        <w:rPr>
          <w:rFonts w:ascii="Times New Roman" w:eastAsia="Times New Roman" w:hAnsi="Times New Roman"/>
          <w:sz w:val="24"/>
          <w:szCs w:val="24"/>
        </w:rPr>
      </w:pPr>
    </w:p>
    <w:p w:rsidR="001B054A" w:rsidRPr="001B054A" w:rsidRDefault="001B054A" w:rsidP="001B054A">
      <w:pPr>
        <w:ind w:right="-999"/>
        <w:jc w:val="both"/>
        <w:rPr>
          <w:rFonts w:ascii="Times New Roman" w:eastAsia="Times New Roman" w:hAnsi="Times New Roman"/>
          <w:sz w:val="24"/>
          <w:szCs w:val="24"/>
        </w:rPr>
      </w:pPr>
    </w:p>
    <w:p w:rsidR="001B054A" w:rsidRPr="001B054A"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___________________________</w:t>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t>____________________________</w:t>
      </w:r>
    </w:p>
    <w:p w:rsidR="001B054A" w:rsidRPr="00884D40" w:rsidRDefault="001B054A" w:rsidP="001B054A">
      <w:pPr>
        <w:ind w:right="-999"/>
        <w:jc w:val="both"/>
        <w:rPr>
          <w:rFonts w:ascii="Times New Roman" w:eastAsia="Times New Roman" w:hAnsi="Times New Roman"/>
          <w:sz w:val="24"/>
          <w:szCs w:val="24"/>
        </w:rPr>
      </w:pPr>
      <w:r w:rsidRPr="001B054A">
        <w:rPr>
          <w:rFonts w:ascii="Times New Roman" w:eastAsia="Times New Roman" w:hAnsi="Times New Roman"/>
          <w:sz w:val="24"/>
          <w:szCs w:val="24"/>
        </w:rPr>
        <w:t xml:space="preserve">Valdes locekle </w:t>
      </w:r>
      <w:proofErr w:type="spellStart"/>
      <w:r w:rsidRPr="001B054A">
        <w:rPr>
          <w:rFonts w:ascii="Times New Roman" w:eastAsia="Times New Roman" w:hAnsi="Times New Roman"/>
          <w:sz w:val="24"/>
          <w:szCs w:val="24"/>
        </w:rPr>
        <w:t>I.Kreicberga</w:t>
      </w:r>
      <w:proofErr w:type="spellEnd"/>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sidRPr="001B054A">
        <w:rPr>
          <w:rFonts w:ascii="Times New Roman" w:eastAsia="Times New Roman" w:hAnsi="Times New Roman"/>
          <w:sz w:val="24"/>
          <w:szCs w:val="24"/>
        </w:rPr>
        <w:tab/>
      </w:r>
      <w:r>
        <w:rPr>
          <w:rFonts w:ascii="Times New Roman" w:eastAsia="Times New Roman" w:hAnsi="Times New Roman"/>
          <w:sz w:val="24"/>
          <w:szCs w:val="24"/>
        </w:rPr>
        <w:t>Valdes loceklis A.</w:t>
      </w:r>
      <w:r w:rsidRPr="001B054A">
        <w:rPr>
          <w:rFonts w:ascii="Times New Roman" w:eastAsia="Times New Roman" w:hAnsi="Times New Roman"/>
          <w:sz w:val="24"/>
          <w:szCs w:val="24"/>
        </w:rPr>
        <w:t xml:space="preserve"> Gailītis</w:t>
      </w:r>
      <w:r>
        <w:rPr>
          <w:rFonts w:ascii="Times New Roman" w:eastAsia="Times New Roman" w:hAnsi="Times New Roman"/>
          <w:sz w:val="24"/>
          <w:szCs w:val="24"/>
        </w:rPr>
        <w:tab/>
      </w:r>
    </w:p>
    <w:p w:rsidR="001B054A" w:rsidRDefault="001B054A" w:rsidP="001B054A">
      <w:pPr>
        <w:spacing w:after="120"/>
        <w:ind w:right="-1050"/>
        <w:jc w:val="both"/>
        <w:rPr>
          <w:rFonts w:ascii="Times New Roman" w:eastAsia="Times New Roman" w:hAnsi="Times New Roman"/>
          <w:b/>
          <w:bCs/>
          <w:sz w:val="24"/>
          <w:szCs w:val="24"/>
        </w:rPr>
      </w:pP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1B054A" w:rsidRPr="00884D40" w:rsidRDefault="001B054A" w:rsidP="001B054A">
      <w:pPr>
        <w:spacing w:after="120"/>
        <w:ind w:right="-1050"/>
        <w:jc w:val="both"/>
        <w:rPr>
          <w:rFonts w:ascii="Times New Roman" w:eastAsia="Times New Roman" w:hAnsi="Times New Roman"/>
          <w:bCs/>
          <w:sz w:val="24"/>
          <w:szCs w:val="24"/>
        </w:rPr>
      </w:pPr>
    </w:p>
    <w:p w:rsidR="001B054A" w:rsidRPr="00884D40"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bookmarkStart w:id="3" w:name="_GoBack"/>
      <w:bookmarkEnd w:id="3"/>
    </w:p>
    <w:p w:rsidR="001B054A" w:rsidRPr="00631D1D" w:rsidRDefault="001B054A" w:rsidP="001B054A">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1B054A" w:rsidRPr="00631D1D" w:rsidRDefault="001B054A" w:rsidP="001B054A">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190DDA">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3C41"/>
    <w:rsid w:val="000971F8"/>
    <w:rsid w:val="00131B90"/>
    <w:rsid w:val="001372D6"/>
    <w:rsid w:val="00137DD5"/>
    <w:rsid w:val="00190DDA"/>
    <w:rsid w:val="00191C44"/>
    <w:rsid w:val="0019645E"/>
    <w:rsid w:val="001B054A"/>
    <w:rsid w:val="001B142F"/>
    <w:rsid w:val="002204A9"/>
    <w:rsid w:val="002A6831"/>
    <w:rsid w:val="002B4BCC"/>
    <w:rsid w:val="002B5E12"/>
    <w:rsid w:val="002D20B2"/>
    <w:rsid w:val="00313164"/>
    <w:rsid w:val="00355CD2"/>
    <w:rsid w:val="003C086E"/>
    <w:rsid w:val="0042114C"/>
    <w:rsid w:val="00443D4E"/>
    <w:rsid w:val="00463571"/>
    <w:rsid w:val="00473EBE"/>
    <w:rsid w:val="00483B33"/>
    <w:rsid w:val="004E3C86"/>
    <w:rsid w:val="00533A33"/>
    <w:rsid w:val="005E62B6"/>
    <w:rsid w:val="00631D1D"/>
    <w:rsid w:val="00692A2F"/>
    <w:rsid w:val="006D2DA4"/>
    <w:rsid w:val="00775CA5"/>
    <w:rsid w:val="007A552E"/>
    <w:rsid w:val="007A564B"/>
    <w:rsid w:val="0083647D"/>
    <w:rsid w:val="00884D40"/>
    <w:rsid w:val="008A1060"/>
    <w:rsid w:val="008A3E18"/>
    <w:rsid w:val="0091744F"/>
    <w:rsid w:val="009245EE"/>
    <w:rsid w:val="00925C51"/>
    <w:rsid w:val="0097512E"/>
    <w:rsid w:val="00A37391"/>
    <w:rsid w:val="00AB5A35"/>
    <w:rsid w:val="00B55998"/>
    <w:rsid w:val="00C16269"/>
    <w:rsid w:val="00C7328F"/>
    <w:rsid w:val="00CD3EB8"/>
    <w:rsid w:val="00D24021"/>
    <w:rsid w:val="00D26BB4"/>
    <w:rsid w:val="00D34453"/>
    <w:rsid w:val="00D43E7A"/>
    <w:rsid w:val="00DB0A60"/>
    <w:rsid w:val="00EB6F75"/>
    <w:rsid w:val="00ED245F"/>
    <w:rsid w:val="00F2567A"/>
    <w:rsid w:val="00F526D5"/>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 w:type="character" w:styleId="Hyperlink">
    <w:name w:val="Hyperlink"/>
    <w:basedOn w:val="DefaultParagraphFont"/>
    <w:uiPriority w:val="99"/>
    <w:unhideWhenUsed/>
    <w:rsid w:val="00443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19376</Words>
  <Characters>11045</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cp:lastPrinted>2018-11-30T09:40:00Z</cp:lastPrinted>
  <dcterms:created xsi:type="dcterms:W3CDTF">2018-11-30T08:50:00Z</dcterms:created>
  <dcterms:modified xsi:type="dcterms:W3CDTF">2018-12-14T08:16:00Z</dcterms:modified>
</cp:coreProperties>
</file>