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857261" w:rsidRPr="00621AEB" w:rsidTr="00857261">
        <w:trPr>
          <w:trHeight w:val="803"/>
        </w:trPr>
        <w:tc>
          <w:tcPr>
            <w:tcW w:w="9759" w:type="dxa"/>
            <w:tcBorders>
              <w:top w:val="nil"/>
              <w:left w:val="nil"/>
              <w:bottom w:val="nil"/>
              <w:right w:val="nil"/>
            </w:tcBorders>
          </w:tcPr>
          <w:p w:rsidR="00857261" w:rsidRPr="00621AEB" w:rsidRDefault="00857261" w:rsidP="00900380">
            <w:pPr>
              <w:ind w:right="49"/>
              <w:jc w:val="center"/>
              <w:outlineLvl w:val="0"/>
              <w:rPr>
                <w:b/>
                <w:lang w:eastAsia="lv-LV"/>
              </w:rPr>
            </w:pPr>
            <w:r>
              <w:rPr>
                <w:b/>
                <w:lang w:eastAsia="lv-LV"/>
              </w:rPr>
              <w:t>LĪGUMS</w:t>
            </w:r>
            <w:r w:rsidR="001260F6">
              <w:rPr>
                <w:b/>
                <w:lang w:eastAsia="lv-LV"/>
              </w:rPr>
              <w:t xml:space="preserve"> Nr.__________</w:t>
            </w:r>
          </w:p>
          <w:p w:rsidR="00857261" w:rsidRPr="00621AEB" w:rsidRDefault="00857261" w:rsidP="00900380">
            <w:pPr>
              <w:ind w:right="49"/>
              <w:jc w:val="center"/>
              <w:outlineLvl w:val="0"/>
            </w:pPr>
            <w:r w:rsidRPr="00621AEB">
              <w:rPr>
                <w:i/>
                <w:lang w:eastAsia="lv-LV"/>
              </w:rPr>
              <w:t>par</w:t>
            </w:r>
            <w:r w:rsidRPr="00621AEB">
              <w:rPr>
                <w:b/>
                <w:i/>
                <w:lang w:eastAsia="lv-LV"/>
              </w:rPr>
              <w:t xml:space="preserve"> </w:t>
            </w:r>
            <w:r>
              <w:rPr>
                <w:i/>
              </w:rPr>
              <w:t>Nukleārās medicīnas produktu</w:t>
            </w:r>
            <w:r w:rsidRPr="001C5421">
              <w:rPr>
                <w:i/>
              </w:rPr>
              <w:t xml:space="preserve"> </w:t>
            </w:r>
            <w:r w:rsidRPr="00621AEB">
              <w:rPr>
                <w:i/>
              </w:rPr>
              <w:t>piegādi</w:t>
            </w:r>
          </w:p>
          <w:p w:rsidR="00857261" w:rsidRPr="00621AEB" w:rsidRDefault="00857261" w:rsidP="00900380">
            <w:pPr>
              <w:ind w:right="49"/>
              <w:jc w:val="center"/>
              <w:outlineLvl w:val="0"/>
              <w:rPr>
                <w:rFonts w:eastAsia="Calibri"/>
                <w:bCs/>
                <w:iCs/>
                <w:lang w:eastAsia="lv-LV"/>
              </w:rPr>
            </w:pPr>
            <w:r w:rsidRPr="00621AEB">
              <w:rPr>
                <w:lang w:eastAsia="lv-LV"/>
              </w:rPr>
              <w:t>(identifikācijas Nr. PSKUS 2017/15</w:t>
            </w:r>
            <w:r>
              <w:rPr>
                <w:lang w:eastAsia="lv-LV"/>
              </w:rPr>
              <w:t>5</w:t>
            </w:r>
            <w:r w:rsidRPr="00621AEB">
              <w:rPr>
                <w:lang w:eastAsia="lv-LV"/>
              </w:rPr>
              <w:t>)</w:t>
            </w:r>
          </w:p>
        </w:tc>
      </w:tr>
      <w:tr w:rsidR="00857261" w:rsidRPr="00621AEB" w:rsidTr="00857261">
        <w:trPr>
          <w:trHeight w:val="453"/>
        </w:trPr>
        <w:tc>
          <w:tcPr>
            <w:tcW w:w="9759" w:type="dxa"/>
            <w:tcBorders>
              <w:top w:val="nil"/>
              <w:left w:val="nil"/>
              <w:bottom w:val="nil"/>
              <w:right w:val="nil"/>
            </w:tcBorders>
          </w:tcPr>
          <w:p w:rsidR="00857261" w:rsidRPr="00621AEB" w:rsidRDefault="00857261" w:rsidP="00900380">
            <w:pPr>
              <w:ind w:right="49"/>
              <w:jc w:val="center"/>
              <w:rPr>
                <w:lang w:eastAsia="lv-LV"/>
              </w:rPr>
            </w:pPr>
          </w:p>
          <w:p w:rsidR="00857261" w:rsidRPr="00621AEB" w:rsidRDefault="00857261" w:rsidP="00900380">
            <w:pPr>
              <w:ind w:right="49"/>
              <w:jc w:val="center"/>
              <w:rPr>
                <w:lang w:eastAsia="lv-LV"/>
              </w:rPr>
            </w:pPr>
            <w:r w:rsidRPr="00621AEB">
              <w:rPr>
                <w:lang w:eastAsia="lv-LV"/>
              </w:rPr>
              <w:t>Rīgā,                                                                           201</w:t>
            </w:r>
            <w:r>
              <w:rPr>
                <w:lang w:eastAsia="lv-LV"/>
              </w:rPr>
              <w:t>8</w:t>
            </w:r>
            <w:r w:rsidRPr="00621AEB">
              <w:rPr>
                <w:lang w:eastAsia="lv-LV"/>
              </w:rPr>
              <w:t>.gada ___.</w:t>
            </w:r>
            <w:r>
              <w:rPr>
                <w:lang w:eastAsia="lv-LV"/>
              </w:rPr>
              <w:t>janvārī</w:t>
            </w:r>
          </w:p>
          <w:p w:rsidR="00857261" w:rsidRPr="00621AEB" w:rsidRDefault="00857261" w:rsidP="00900380">
            <w:pPr>
              <w:shd w:val="clear" w:color="auto" w:fill="FFFFFF"/>
              <w:ind w:right="49"/>
              <w:jc w:val="center"/>
              <w:rPr>
                <w:rFonts w:eastAsia="Calibri"/>
                <w:b/>
                <w:i/>
                <w:lang w:eastAsia="lv-LV"/>
              </w:rPr>
            </w:pPr>
          </w:p>
        </w:tc>
      </w:tr>
    </w:tbl>
    <w:p w:rsidR="00857261" w:rsidRPr="00857261" w:rsidRDefault="00857261" w:rsidP="00857261">
      <w:pPr>
        <w:ind w:right="49"/>
        <w:rPr>
          <w:rFonts w:eastAsia="SimSun"/>
          <w:color w:val="000000"/>
        </w:rPr>
      </w:pPr>
      <w:r w:rsidRPr="00857261">
        <w:rPr>
          <w:rFonts w:eastAsia="SimSun"/>
          <w:b/>
          <w:color w:val="000000"/>
        </w:rPr>
        <w:t>Valsts sabiedrība ar ierobežotu atbildību „Paula Stradiņa klīniskā universitātes slimnīca”</w:t>
      </w:r>
      <w:r w:rsidRPr="00857261">
        <w:rPr>
          <w:rFonts w:eastAsia="SimSun"/>
          <w:color w:val="000000"/>
        </w:rPr>
        <w:t xml:space="preserve">, reģistrācijas numurs: 40003457109, juridiskā adrese: Pilsoņu iela 13, Rīga, LV-1002, kuru </w:t>
      </w:r>
      <w:r w:rsidRPr="00857261">
        <w:rPr>
          <w:rFonts w:eastAsia="SimSun"/>
          <w:bCs/>
          <w:color w:val="000000"/>
        </w:rPr>
        <w:t xml:space="preserve">pārstāv valdes priekšsēdētāja </w:t>
      </w:r>
      <w:r w:rsidRPr="001260F6">
        <w:rPr>
          <w:rFonts w:eastAsia="SimSun"/>
          <w:b/>
          <w:bCs/>
          <w:color w:val="000000"/>
        </w:rPr>
        <w:t>Ilze Kreicberga</w:t>
      </w:r>
      <w:r w:rsidRPr="00857261">
        <w:rPr>
          <w:rFonts w:eastAsia="SimSun"/>
          <w:bCs/>
          <w:color w:val="000000"/>
        </w:rPr>
        <w:t xml:space="preserve">, valdes locekle </w:t>
      </w:r>
      <w:r w:rsidRPr="001260F6">
        <w:rPr>
          <w:rFonts w:eastAsia="SimSun"/>
          <w:b/>
          <w:bCs/>
          <w:color w:val="000000"/>
        </w:rPr>
        <w:t>Arta Biruma</w:t>
      </w:r>
      <w:r w:rsidRPr="00857261">
        <w:rPr>
          <w:rFonts w:eastAsia="SimSun"/>
          <w:bCs/>
          <w:color w:val="000000"/>
        </w:rPr>
        <w:t xml:space="preserve"> un valdes locekle </w:t>
      </w:r>
      <w:r w:rsidRPr="001260F6">
        <w:rPr>
          <w:rFonts w:eastAsia="SimSun"/>
          <w:b/>
          <w:bCs/>
          <w:color w:val="000000"/>
        </w:rPr>
        <w:t>Elita Buša</w:t>
      </w:r>
      <w:r w:rsidRPr="00857261">
        <w:rPr>
          <w:rFonts w:eastAsia="SimSun"/>
          <w:color w:val="000000"/>
        </w:rPr>
        <w:t>, kuras rīkojas uz statūtu</w:t>
      </w:r>
      <w:r w:rsidRPr="00857261">
        <w:rPr>
          <w:rFonts w:eastAsia="SimSun"/>
        </w:rPr>
        <w:t xml:space="preserve"> </w:t>
      </w:r>
      <w:r w:rsidRPr="00857261">
        <w:rPr>
          <w:rFonts w:eastAsia="SimSun"/>
          <w:color w:val="000000"/>
        </w:rPr>
        <w:t xml:space="preserve">pamata, (turpmāk – </w:t>
      </w:r>
      <w:r w:rsidR="001260F6" w:rsidRPr="001260F6">
        <w:rPr>
          <w:rFonts w:eastAsia="SimSun"/>
          <w:color w:val="000000"/>
        </w:rPr>
        <w:t>Pircējs</w:t>
      </w:r>
      <w:r w:rsidRPr="001260F6">
        <w:rPr>
          <w:rFonts w:eastAsia="SimSun"/>
          <w:color w:val="000000"/>
        </w:rPr>
        <w:t>)</w:t>
      </w:r>
      <w:r w:rsidRPr="00857261">
        <w:rPr>
          <w:rFonts w:eastAsia="SimSun"/>
          <w:color w:val="000000"/>
        </w:rPr>
        <w:t>, no vienas puses, un</w:t>
      </w:r>
    </w:p>
    <w:p w:rsidR="00857261" w:rsidRPr="00621AEB" w:rsidRDefault="00857261" w:rsidP="00857261">
      <w:pPr>
        <w:ind w:right="49"/>
      </w:pPr>
      <w:r>
        <w:rPr>
          <w:b/>
          <w:lang w:eastAsia="lv-LV"/>
        </w:rPr>
        <w:t>SIA “TAMRO”</w:t>
      </w:r>
      <w:r>
        <w:rPr>
          <w:lang w:eastAsia="lv-LV"/>
        </w:rPr>
        <w:t xml:space="preserve">, tās valdes locekļu </w:t>
      </w:r>
      <w:proofErr w:type="spellStart"/>
      <w:r w:rsidRPr="00DE3F69">
        <w:rPr>
          <w:b/>
          <w:lang w:eastAsia="lv-LV"/>
        </w:rPr>
        <w:t>Nataļjas</w:t>
      </w:r>
      <w:proofErr w:type="spellEnd"/>
      <w:r w:rsidRPr="00DE3F69">
        <w:rPr>
          <w:b/>
          <w:lang w:eastAsia="lv-LV"/>
        </w:rPr>
        <w:t xml:space="preserve"> </w:t>
      </w:r>
      <w:proofErr w:type="spellStart"/>
      <w:r w:rsidRPr="00DE3F69">
        <w:rPr>
          <w:b/>
          <w:lang w:eastAsia="lv-LV"/>
        </w:rPr>
        <w:t>Rešetņakas</w:t>
      </w:r>
      <w:proofErr w:type="spellEnd"/>
      <w:r>
        <w:rPr>
          <w:lang w:eastAsia="lv-LV"/>
        </w:rPr>
        <w:t xml:space="preserve"> un </w:t>
      </w:r>
      <w:r w:rsidRPr="00DE3F69">
        <w:rPr>
          <w:b/>
          <w:lang w:eastAsia="lv-LV"/>
        </w:rPr>
        <w:t xml:space="preserve">Alekseja </w:t>
      </w:r>
      <w:proofErr w:type="spellStart"/>
      <w:r w:rsidRPr="00DE3F69">
        <w:rPr>
          <w:b/>
          <w:lang w:eastAsia="lv-LV"/>
        </w:rPr>
        <w:t>Boroduļina</w:t>
      </w:r>
      <w:proofErr w:type="spellEnd"/>
      <w:r>
        <w:rPr>
          <w:lang w:eastAsia="lv-LV"/>
        </w:rPr>
        <w:t xml:space="preserve"> personās, kuri rīkojas uz statūtu pamata (turpmāk – Piegādātājs) no otras puses</w:t>
      </w:r>
      <w:r w:rsidRPr="00621AEB">
        <w:t xml:space="preserve"> (visi kopā Puses un katrs atsevišķi - Puse), </w:t>
      </w:r>
    </w:p>
    <w:p w:rsidR="00857261" w:rsidRPr="00621AEB" w:rsidRDefault="00857261" w:rsidP="00857261">
      <w:pPr>
        <w:ind w:right="49"/>
        <w:rPr>
          <w:sz w:val="23"/>
          <w:szCs w:val="23"/>
        </w:rPr>
      </w:pPr>
      <w:r w:rsidRPr="00621AEB">
        <w:t>pamatojoties uz atklāta konkursa „</w:t>
      </w:r>
      <w:bookmarkStart w:id="0" w:name="_Hlk496166174"/>
      <w:r w:rsidRPr="009B00E2">
        <w:t xml:space="preserve">Nukleārās medicīnas produktu </w:t>
      </w:r>
      <w:r w:rsidRPr="00621AEB">
        <w:t>piegāde</w:t>
      </w:r>
      <w:bookmarkEnd w:id="0"/>
      <w:r w:rsidRPr="00621AEB">
        <w:t>” (ID Nr. PSKUS 2017/15</w:t>
      </w:r>
      <w:r>
        <w:t>5</w:t>
      </w:r>
      <w:r w:rsidRPr="00621AEB">
        <w:t xml:space="preserve">) rezultātiem un, saskaņā ar Piegādātāja atklātā konkursā iesniegto piedāvājumu, noslēdz šādu </w:t>
      </w:r>
      <w:r>
        <w:t>Līguma</w:t>
      </w:r>
      <w:r w:rsidRPr="00621AEB">
        <w:t xml:space="preserve"> (turpmāk – </w:t>
      </w:r>
      <w:r>
        <w:t>Līgums</w:t>
      </w:r>
      <w:r w:rsidRPr="00621AEB">
        <w:t>):</w:t>
      </w:r>
    </w:p>
    <w:p w:rsidR="00857261" w:rsidRPr="00621AEB" w:rsidRDefault="00857261" w:rsidP="00857261">
      <w:pPr>
        <w:ind w:right="49"/>
        <w:rPr>
          <w:b/>
        </w:rPr>
      </w:pPr>
    </w:p>
    <w:p w:rsidR="00857261" w:rsidRPr="009B00E2" w:rsidRDefault="00857261" w:rsidP="00857261">
      <w:pPr>
        <w:numPr>
          <w:ilvl w:val="0"/>
          <w:numId w:val="1"/>
        </w:numPr>
        <w:ind w:right="49"/>
        <w:jc w:val="center"/>
        <w:rPr>
          <w:b/>
          <w:bCs/>
        </w:rPr>
      </w:pPr>
      <w:r>
        <w:rPr>
          <w:b/>
          <w:bCs/>
        </w:rPr>
        <w:t>LĪGUMA PRIEKŠMETS</w:t>
      </w:r>
    </w:p>
    <w:p w:rsidR="00857261" w:rsidRPr="009B00E2" w:rsidRDefault="00857261" w:rsidP="00857261">
      <w:pPr>
        <w:numPr>
          <w:ilvl w:val="1"/>
          <w:numId w:val="3"/>
        </w:numPr>
        <w:shd w:val="clear" w:color="auto" w:fill="FFFFFF"/>
        <w:tabs>
          <w:tab w:val="clear" w:pos="612"/>
          <w:tab w:val="num" w:pos="0"/>
        </w:tabs>
        <w:ind w:left="500" w:hanging="500"/>
      </w:pPr>
      <w:r w:rsidRPr="009B00E2">
        <w:t>Piegādātājs apņemas pārdot un piegādāt Pircējam nukleārās medicīnas produktus (turpmāk  - Preces) saskaņā ar Līguma pielikumu „Tehniskais un finanšu piedāvājums” (turpmāk – pielikums) norādīto sortimentu, daudzumiem un cenām, bet Pircējs apņemas par atbilstoši Līguma noteikumiem par piegādātajām Precēm samaksāt.</w:t>
      </w:r>
    </w:p>
    <w:p w:rsidR="00857261" w:rsidRPr="009B00E2" w:rsidRDefault="00857261" w:rsidP="00857261">
      <w:pPr>
        <w:numPr>
          <w:ilvl w:val="1"/>
          <w:numId w:val="3"/>
        </w:numPr>
        <w:shd w:val="clear" w:color="auto" w:fill="FFFFFF"/>
        <w:tabs>
          <w:tab w:val="clear" w:pos="612"/>
          <w:tab w:val="num" w:pos="500"/>
        </w:tabs>
        <w:ind w:left="500" w:hanging="500"/>
      </w:pPr>
      <w:r w:rsidRPr="009B00E2">
        <w:t xml:space="preserve">Pircējam ir tiesības vienpusēji samazināt piegādājamo Preču apjomu, attiecīgi samazinot kopējo Līguma summu. </w:t>
      </w:r>
    </w:p>
    <w:p w:rsidR="00857261" w:rsidRPr="009B00E2" w:rsidRDefault="00857261" w:rsidP="00857261">
      <w:pPr>
        <w:shd w:val="clear" w:color="auto" w:fill="FFFFFF"/>
        <w:spacing w:line="252" w:lineRule="exact"/>
      </w:pPr>
    </w:p>
    <w:p w:rsidR="00857261" w:rsidRPr="009B00E2" w:rsidRDefault="00857261" w:rsidP="00857261">
      <w:pPr>
        <w:numPr>
          <w:ilvl w:val="0"/>
          <w:numId w:val="2"/>
        </w:numPr>
        <w:shd w:val="clear" w:color="auto" w:fill="FFFFFF"/>
        <w:jc w:val="center"/>
        <w:rPr>
          <w:b/>
          <w:bCs/>
        </w:rPr>
      </w:pPr>
      <w:r w:rsidRPr="009B00E2">
        <w:rPr>
          <w:b/>
          <w:bCs/>
        </w:rPr>
        <w:t>LĪGUMA SUMMA</w:t>
      </w:r>
    </w:p>
    <w:p w:rsidR="00857261" w:rsidRPr="009B00E2" w:rsidRDefault="00857261" w:rsidP="00857261">
      <w:pPr>
        <w:numPr>
          <w:ilvl w:val="1"/>
          <w:numId w:val="2"/>
        </w:numPr>
        <w:shd w:val="clear" w:color="auto" w:fill="FFFFFF"/>
        <w:tabs>
          <w:tab w:val="clear" w:pos="420"/>
        </w:tabs>
        <w:ind w:left="567" w:hanging="567"/>
        <w:rPr>
          <w:color w:val="000000"/>
          <w:lang w:eastAsia="lv-LV"/>
        </w:rPr>
      </w:pPr>
      <w:r w:rsidRPr="009B00E2">
        <w:rPr>
          <w:color w:val="000000"/>
        </w:rPr>
        <w:t xml:space="preserve">Līguma summu veidos visu to piegādāto Preču (ieskaitot aviotransporta piegādes izdevumus) kopējā summa, ko Pircējs iegādāsies Līguma darbības laikā, ievērojot pielikumā noteiktās Preču cenas </w:t>
      </w:r>
      <w:r w:rsidRPr="001F5010">
        <w:rPr>
          <w:color w:val="000000"/>
        </w:rPr>
        <w:t>ar iekļautajām aviotransporta izmaksām</w:t>
      </w:r>
      <w:r w:rsidRPr="009B00E2">
        <w:rPr>
          <w:color w:val="000000"/>
        </w:rPr>
        <w:t xml:space="preserve">. Līguma darbības laikā Līguma summa bez pievienotās vērtības nodokļa (PVN) nevar pārsniegt </w:t>
      </w:r>
      <w:r>
        <w:rPr>
          <w:color w:val="000000"/>
        </w:rPr>
        <w:t>EUR</w:t>
      </w:r>
      <w:r w:rsidRPr="009B00E2">
        <w:rPr>
          <w:color w:val="000000"/>
        </w:rPr>
        <w:t xml:space="preserve"> </w:t>
      </w:r>
      <w:r>
        <w:rPr>
          <w:color w:val="000000"/>
        </w:rPr>
        <w:t>170 000.00</w:t>
      </w:r>
      <w:r w:rsidRPr="009B00E2">
        <w:rPr>
          <w:color w:val="000000"/>
        </w:rPr>
        <w:t xml:space="preserve"> (</w:t>
      </w:r>
      <w:r>
        <w:rPr>
          <w:color w:val="000000"/>
        </w:rPr>
        <w:t xml:space="preserve">viens simts septiņdesmit tūkstoši </w:t>
      </w:r>
      <w:proofErr w:type="spellStart"/>
      <w:r w:rsidRPr="009B00E2">
        <w:rPr>
          <w:i/>
          <w:color w:val="000000"/>
        </w:rPr>
        <w:t>euro</w:t>
      </w:r>
      <w:proofErr w:type="spellEnd"/>
      <w:r>
        <w:rPr>
          <w:color w:val="000000"/>
        </w:rPr>
        <w:t xml:space="preserve"> un 00 centi</w:t>
      </w:r>
      <w:r w:rsidRPr="009B00E2">
        <w:rPr>
          <w:color w:val="000000"/>
        </w:rPr>
        <w:t>).</w:t>
      </w:r>
    </w:p>
    <w:p w:rsidR="00857261" w:rsidRPr="009B00E2" w:rsidRDefault="00857261" w:rsidP="00857261">
      <w:pPr>
        <w:numPr>
          <w:ilvl w:val="1"/>
          <w:numId w:val="2"/>
        </w:numPr>
        <w:shd w:val="clear" w:color="auto" w:fill="FFFFFF"/>
        <w:tabs>
          <w:tab w:val="clear" w:pos="420"/>
        </w:tabs>
        <w:ind w:left="567" w:hanging="567"/>
        <w:rPr>
          <w:lang w:eastAsia="lv-LV"/>
        </w:rPr>
      </w:pPr>
      <w:r w:rsidRPr="009B00E2">
        <w:t xml:space="preserve">Preču cenas ietver Preču piegādes izdevumus līdz Līgumā norādītajai piegādes vietai </w:t>
      </w:r>
      <w:r w:rsidRPr="001F5010">
        <w:t>(ja attiecināms iekļaujot aviotransporta izmaksas),</w:t>
      </w:r>
      <w:r w:rsidRPr="009B00E2">
        <w:t xml:space="preserve"> iepakojuma izmaksas, visus nodokļus (izņemot PVN) un nodevas, kā arī citas izmaksas, kas attiecas uz Precēm.</w:t>
      </w:r>
    </w:p>
    <w:p w:rsidR="00857261" w:rsidRPr="009B00E2" w:rsidRDefault="00857261" w:rsidP="00857261">
      <w:pPr>
        <w:numPr>
          <w:ilvl w:val="1"/>
          <w:numId w:val="2"/>
        </w:numPr>
        <w:shd w:val="clear" w:color="auto" w:fill="FFFFFF"/>
        <w:tabs>
          <w:tab w:val="clear" w:pos="420"/>
        </w:tabs>
        <w:ind w:left="567" w:hanging="567"/>
        <w:rPr>
          <w:lang w:eastAsia="lv-LV"/>
        </w:rPr>
      </w:pPr>
      <w:r w:rsidRPr="009B00E2">
        <w:rPr>
          <w:lang w:eastAsia="lv-LV"/>
        </w:rPr>
        <w:t>Ja saskaņā ar normatīvajiem aktiem tiek grozīta Preču PVN likme, Preču cenas ar PVN tiek grozītas bez atsevišķas Pušu vienošanās. Šādas PVN likmes izmaiņas stājas spēkā normatīvajos aktos noteiktajā laikā un kārtībā. Preču cenas bez PVN, šādā kārtībā nevar tikt grozītas.</w:t>
      </w:r>
    </w:p>
    <w:p w:rsidR="00857261" w:rsidRPr="009B00E2" w:rsidRDefault="00857261" w:rsidP="00857261">
      <w:pPr>
        <w:numPr>
          <w:ilvl w:val="1"/>
          <w:numId w:val="2"/>
        </w:numPr>
        <w:shd w:val="clear" w:color="auto" w:fill="FFFFFF"/>
        <w:tabs>
          <w:tab w:val="clear" w:pos="420"/>
        </w:tabs>
        <w:ind w:left="567" w:hanging="567"/>
        <w:rPr>
          <w:lang w:eastAsia="lv-LV"/>
        </w:rPr>
      </w:pPr>
      <w:r w:rsidRPr="009B00E2">
        <w:rPr>
          <w:lang w:eastAsia="lv-LV"/>
        </w:rPr>
        <w:t xml:space="preserve">Ja Līguma darbības laikā Piegādātājs rīko akcijas, kuru laikā Preces tiek pārdotas par zemākām cenām nekā noteikts Līguma pielikumā </w:t>
      </w:r>
      <w:r w:rsidRPr="009B00E2">
        <w:t xml:space="preserve">„Tehniskais un finanšu piedāvājums” (turpmāk – pielikums), tad Piegādātājam ir pienākums informēt Pircēju un piegādāt Preces par šādām zemākām cenām. </w:t>
      </w:r>
    </w:p>
    <w:p w:rsidR="00857261" w:rsidRPr="001F5010" w:rsidRDefault="00857261" w:rsidP="00857261">
      <w:pPr>
        <w:numPr>
          <w:ilvl w:val="1"/>
          <w:numId w:val="2"/>
        </w:numPr>
        <w:shd w:val="clear" w:color="auto" w:fill="FFFFFF"/>
        <w:tabs>
          <w:tab w:val="clear" w:pos="420"/>
        </w:tabs>
        <w:ind w:left="567" w:hanging="567"/>
        <w:rPr>
          <w:lang w:eastAsia="lv-LV"/>
        </w:rPr>
      </w:pPr>
      <w:r w:rsidRPr="001F5010">
        <w:t xml:space="preserve">Gadījumā, ja Līguma darbības laikā aviācijas transporta pārvadājumiem būtiski mainās cena, tad Puses var vienoties par avio transporta cenas izmaiņām. Pamatojumu par cenu izmaiņām un priekšlikumu vienoties Piegādātājs Pircējam iesniedz </w:t>
      </w:r>
      <w:proofErr w:type="spellStart"/>
      <w:r w:rsidRPr="001F5010">
        <w:t>rakstveidā</w:t>
      </w:r>
      <w:proofErr w:type="spellEnd"/>
      <w:r w:rsidRPr="001F5010">
        <w:t xml:space="preserve">. Vienošanās par cenu izmaiņām noformējama </w:t>
      </w:r>
      <w:proofErr w:type="spellStart"/>
      <w:r w:rsidRPr="001F5010">
        <w:t>rakstveidā</w:t>
      </w:r>
      <w:proofErr w:type="spellEnd"/>
      <w:r w:rsidRPr="001F5010">
        <w:t xml:space="preserve"> un pievienojama Līgumam kā neatņemama sastāvdaļa.</w:t>
      </w:r>
    </w:p>
    <w:p w:rsidR="00857261" w:rsidRPr="009B00E2" w:rsidRDefault="00857261" w:rsidP="00857261">
      <w:pPr>
        <w:widowControl w:val="0"/>
        <w:shd w:val="clear" w:color="auto" w:fill="FFFFFF"/>
        <w:tabs>
          <w:tab w:val="left" w:pos="6090"/>
          <w:tab w:val="left" w:pos="6675"/>
        </w:tabs>
        <w:autoSpaceDE w:val="0"/>
        <w:autoSpaceDN w:val="0"/>
        <w:adjustRightInd w:val="0"/>
        <w:spacing w:line="254" w:lineRule="exact"/>
        <w:rPr>
          <w:spacing w:val="2"/>
        </w:rPr>
      </w:pPr>
      <w:r w:rsidRPr="009B00E2">
        <w:rPr>
          <w:spacing w:val="2"/>
        </w:rPr>
        <w:lastRenderedPageBreak/>
        <w:tab/>
      </w:r>
      <w:r w:rsidRPr="009B00E2">
        <w:rPr>
          <w:spacing w:val="2"/>
        </w:rPr>
        <w:tab/>
      </w:r>
    </w:p>
    <w:p w:rsidR="00857261" w:rsidRPr="009B00E2" w:rsidRDefault="00857261" w:rsidP="00857261">
      <w:pPr>
        <w:numPr>
          <w:ilvl w:val="0"/>
          <w:numId w:val="2"/>
        </w:numPr>
        <w:shd w:val="clear" w:color="auto" w:fill="FFFFFF"/>
        <w:ind w:left="0" w:firstLine="0"/>
        <w:jc w:val="center"/>
        <w:rPr>
          <w:b/>
          <w:bCs/>
        </w:rPr>
      </w:pPr>
      <w:r w:rsidRPr="009B00E2">
        <w:rPr>
          <w:b/>
          <w:bCs/>
        </w:rPr>
        <w:t>MAKSĀJUMI</w:t>
      </w:r>
    </w:p>
    <w:p w:rsidR="00857261" w:rsidRPr="009B00E2" w:rsidRDefault="00857261" w:rsidP="00857261">
      <w:pPr>
        <w:numPr>
          <w:ilvl w:val="1"/>
          <w:numId w:val="2"/>
        </w:numPr>
        <w:shd w:val="clear" w:color="auto" w:fill="FFFFFF"/>
        <w:tabs>
          <w:tab w:val="clear" w:pos="420"/>
        </w:tabs>
        <w:spacing w:line="254" w:lineRule="exact"/>
        <w:ind w:left="567" w:right="29" w:hanging="567"/>
        <w:rPr>
          <w:color w:val="000000" w:themeColor="text1"/>
          <w:spacing w:val="5"/>
        </w:rPr>
      </w:pPr>
      <w:r w:rsidRPr="009B00E2">
        <w:rPr>
          <w:color w:val="000000" w:themeColor="text1"/>
          <w:spacing w:val="4"/>
        </w:rPr>
        <w:t xml:space="preserve">Apmaksa par Preču piegādēm tiek veikta </w:t>
      </w:r>
      <w:proofErr w:type="spellStart"/>
      <w:r w:rsidRPr="009B00E2">
        <w:rPr>
          <w:i/>
          <w:color w:val="000000" w:themeColor="text1"/>
          <w:spacing w:val="4"/>
        </w:rPr>
        <w:t>euro</w:t>
      </w:r>
      <w:proofErr w:type="spellEnd"/>
      <w:r w:rsidRPr="009B00E2">
        <w:rPr>
          <w:color w:val="000000" w:themeColor="text1"/>
          <w:spacing w:val="4"/>
        </w:rPr>
        <w:t xml:space="preserve"> atbilstoši Līguma pielikumā </w:t>
      </w:r>
      <w:r w:rsidRPr="009B00E2">
        <w:rPr>
          <w:color w:val="000000" w:themeColor="text1"/>
          <w:spacing w:val="-3"/>
        </w:rPr>
        <w:t xml:space="preserve">noteiktajām cenām saskaņā ar Piegādātāja </w:t>
      </w:r>
      <w:r w:rsidRPr="009B00E2">
        <w:rPr>
          <w:color w:val="000000" w:themeColor="text1"/>
          <w:spacing w:val="-2"/>
        </w:rPr>
        <w:t xml:space="preserve">iesniegto rēķinu, veicot pārskaitījumu uz rēķinā norādīto bankas kontu 60 (sešdesmit) kalendāro </w:t>
      </w:r>
      <w:r w:rsidRPr="009B00E2">
        <w:rPr>
          <w:color w:val="000000" w:themeColor="text1"/>
          <w:spacing w:val="5"/>
        </w:rPr>
        <w:t>dienu laikā pēc Līgumā noteiktajā kārtībā veiktas abpusējas rēķina parakstīšanas.</w:t>
      </w:r>
    </w:p>
    <w:p w:rsidR="00857261" w:rsidRPr="009B00E2" w:rsidRDefault="00857261" w:rsidP="00857261">
      <w:pPr>
        <w:shd w:val="clear" w:color="auto" w:fill="FFFFFF"/>
        <w:spacing w:line="254" w:lineRule="exact"/>
        <w:ind w:right="29"/>
      </w:pPr>
    </w:p>
    <w:p w:rsidR="00857261" w:rsidRPr="009B00E2" w:rsidRDefault="00857261" w:rsidP="00857261">
      <w:pPr>
        <w:numPr>
          <w:ilvl w:val="0"/>
          <w:numId w:val="2"/>
        </w:numPr>
        <w:shd w:val="clear" w:color="auto" w:fill="FFFFFF"/>
        <w:jc w:val="center"/>
        <w:rPr>
          <w:b/>
          <w:bCs/>
        </w:rPr>
      </w:pPr>
      <w:r w:rsidRPr="009B00E2">
        <w:rPr>
          <w:b/>
          <w:bCs/>
        </w:rPr>
        <w:t>PREČU PASŪTĪŠANAS, NODOŠANAS UN PIEŅEMŠANAS KĀRTĪBA</w:t>
      </w:r>
    </w:p>
    <w:p w:rsidR="00857261" w:rsidRPr="009B00E2" w:rsidRDefault="00857261" w:rsidP="00857261">
      <w:pPr>
        <w:numPr>
          <w:ilvl w:val="1"/>
          <w:numId w:val="2"/>
        </w:numPr>
        <w:tabs>
          <w:tab w:val="clear" w:pos="420"/>
          <w:tab w:val="num" w:pos="567"/>
        </w:tabs>
        <w:ind w:left="567" w:hanging="567"/>
      </w:pPr>
      <w:r w:rsidRPr="009B00E2">
        <w:t xml:space="preserve">Pircējs telefoniski vai elektroniski </w:t>
      </w:r>
      <w:proofErr w:type="spellStart"/>
      <w:r w:rsidRPr="009B00E2">
        <w:t>pasūta</w:t>
      </w:r>
      <w:proofErr w:type="spellEnd"/>
      <w:r w:rsidRPr="009B00E2">
        <w:t xml:space="preserve"> Preces Piegādātājam, paziņojot Līguma 4.7.punktā norādītajai pilnvarotajai personai par nepieciešamo Preču daudzumu. Piegādātājs Preču piegādi veic 7 (septiņu) kalendāro dienu laikā no pasūtījuma saņemšanas dienas.</w:t>
      </w:r>
    </w:p>
    <w:p w:rsidR="00857261" w:rsidRPr="009B00E2" w:rsidRDefault="00857261" w:rsidP="00857261">
      <w:pPr>
        <w:numPr>
          <w:ilvl w:val="1"/>
          <w:numId w:val="2"/>
        </w:numPr>
        <w:shd w:val="clear" w:color="auto" w:fill="FFFFFF"/>
        <w:tabs>
          <w:tab w:val="clear" w:pos="420"/>
        </w:tabs>
        <w:ind w:left="567" w:hanging="567"/>
      </w:pPr>
      <w:r w:rsidRPr="009B00E2">
        <w:t xml:space="preserve">Preces piegādes adrese: </w:t>
      </w:r>
      <w:r w:rsidRPr="009B00E2">
        <w:rPr>
          <w:color w:val="000000"/>
        </w:rPr>
        <w:t>„Paula Stradiņa klīniskā universitātes slimnīca”, Pilsoņu iela 13, Rīga, LV- 1002.</w:t>
      </w:r>
    </w:p>
    <w:p w:rsidR="00857261" w:rsidRPr="009B00E2" w:rsidRDefault="00857261" w:rsidP="00857261">
      <w:pPr>
        <w:numPr>
          <w:ilvl w:val="1"/>
          <w:numId w:val="2"/>
        </w:numPr>
        <w:shd w:val="clear" w:color="auto" w:fill="FFFFFF"/>
        <w:tabs>
          <w:tab w:val="clear" w:pos="420"/>
        </w:tabs>
        <w:ind w:left="567" w:hanging="567"/>
      </w:pPr>
      <w:r w:rsidRPr="009B00E2">
        <w:t>Pircējs, pieņemot Preces, ir tiesīgs pārbaudīt Preču atbilstību un kvalitāti. Ja kāda no Precēm neatbilst Līguma noteikumiem vai konstatēts iztrūkums, Pircēja pilnvarotā persona sastāda defektu aktu. Turklāt šajā gadījumā Pircējs ir tiesīgs nepieņemt un neapmaksāt defektu aktā norādītās neatbilstošās Preces.</w:t>
      </w:r>
    </w:p>
    <w:p w:rsidR="00857261" w:rsidRPr="009B00E2" w:rsidRDefault="00857261" w:rsidP="00857261">
      <w:pPr>
        <w:numPr>
          <w:ilvl w:val="1"/>
          <w:numId w:val="2"/>
        </w:numPr>
        <w:shd w:val="clear" w:color="auto" w:fill="FFFFFF"/>
        <w:tabs>
          <w:tab w:val="clear" w:pos="420"/>
        </w:tabs>
        <w:ind w:left="567" w:hanging="567"/>
      </w:pPr>
      <w:r w:rsidRPr="009B00E2">
        <w:t xml:space="preserve">Piegādātājs ne vēlāk kā 1 (viena) mēneša laikā no defektu akta sastādīšanas brīža </w:t>
      </w:r>
      <w:r>
        <w:t>piegādā jaunu Līguma noteikumiem atbilstošu preci</w:t>
      </w:r>
      <w:r w:rsidRPr="009B00E2">
        <w:t xml:space="preserve"> un maksā Pircējam līgumsodu par Preču piegādes nokavējumu.</w:t>
      </w:r>
    </w:p>
    <w:p w:rsidR="00857261" w:rsidRPr="009B00E2" w:rsidRDefault="00857261" w:rsidP="00857261">
      <w:pPr>
        <w:numPr>
          <w:ilvl w:val="1"/>
          <w:numId w:val="2"/>
        </w:numPr>
        <w:shd w:val="clear" w:color="auto" w:fill="FFFFFF"/>
        <w:tabs>
          <w:tab w:val="clear" w:pos="420"/>
        </w:tabs>
        <w:ind w:left="567" w:hanging="567"/>
        <w:rPr>
          <w:spacing w:val="2"/>
        </w:rPr>
      </w:pPr>
      <w:r w:rsidRPr="009B00E2">
        <w:t>Preces uzskatāmas par piegādātām un nodotām Pircējam ar brīdi, kad Puses (to pilnvarotie pārstāvji) parakstījuši rēķinu.</w:t>
      </w:r>
    </w:p>
    <w:p w:rsidR="00857261" w:rsidRPr="00057E35" w:rsidRDefault="00857261" w:rsidP="00857261">
      <w:pPr>
        <w:pStyle w:val="ListParagraph"/>
        <w:numPr>
          <w:ilvl w:val="1"/>
          <w:numId w:val="2"/>
        </w:numPr>
        <w:rPr>
          <w:rFonts w:ascii="Times New Roman" w:eastAsia="Times New Roman" w:hAnsi="Times New Roman"/>
          <w:sz w:val="24"/>
          <w:szCs w:val="24"/>
        </w:rPr>
      </w:pPr>
      <w:r w:rsidRPr="00057E35">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r w:rsidRPr="00057E35">
        <w:rPr>
          <w:rFonts w:ascii="Times New Roman" w:hAnsi="Times New Roman"/>
          <w:sz w:val="24"/>
          <w:szCs w:val="24"/>
        </w:rPr>
        <w:t xml:space="preserve">Rēķinos tiek uzrādītas piegādāto Preču cenas </w:t>
      </w:r>
      <w:proofErr w:type="spellStart"/>
      <w:r w:rsidRPr="00057E35">
        <w:rPr>
          <w:rFonts w:ascii="Times New Roman" w:hAnsi="Times New Roman"/>
          <w:sz w:val="24"/>
          <w:szCs w:val="24"/>
        </w:rPr>
        <w:t>euro</w:t>
      </w:r>
      <w:proofErr w:type="spellEnd"/>
      <w:r w:rsidRPr="00057E35">
        <w:rPr>
          <w:rFonts w:ascii="Times New Roman" w:hAnsi="Times New Roman"/>
          <w:sz w:val="24"/>
          <w:szCs w:val="24"/>
        </w:rPr>
        <w:t>, PVN likme un kopējā cena ar PVN. Rēķinā obligāti jānorāda Līguma numurs.</w:t>
      </w:r>
    </w:p>
    <w:p w:rsidR="00857261" w:rsidRPr="009B00E2" w:rsidRDefault="00857261" w:rsidP="00857261">
      <w:pPr>
        <w:numPr>
          <w:ilvl w:val="1"/>
          <w:numId w:val="2"/>
        </w:numPr>
        <w:shd w:val="clear" w:color="auto" w:fill="FFFFFF"/>
        <w:tabs>
          <w:tab w:val="clear" w:pos="420"/>
        </w:tabs>
        <w:ind w:left="567" w:hanging="567"/>
        <w:rPr>
          <w:spacing w:val="2"/>
        </w:rPr>
      </w:pPr>
      <w:r w:rsidRPr="009B00E2">
        <w:rPr>
          <w:spacing w:val="2"/>
        </w:rPr>
        <w:t>Pilnvarotās personas Līguma saistību izpildīšanā (pasūtīt, pieņemt Preci, parakstīt rēķinu, sastādīt un parakstīt defektu aktu):</w:t>
      </w:r>
    </w:p>
    <w:p w:rsidR="00857261" w:rsidRPr="009B00E2" w:rsidRDefault="00857261" w:rsidP="00857261">
      <w:pPr>
        <w:widowControl w:val="0"/>
        <w:numPr>
          <w:ilvl w:val="2"/>
          <w:numId w:val="2"/>
        </w:numPr>
        <w:shd w:val="clear" w:color="auto" w:fill="FFFFFF"/>
        <w:tabs>
          <w:tab w:val="clear" w:pos="720"/>
        </w:tabs>
        <w:autoSpaceDE w:val="0"/>
        <w:autoSpaceDN w:val="0"/>
        <w:adjustRightInd w:val="0"/>
        <w:spacing w:line="254" w:lineRule="exact"/>
        <w:ind w:left="1134" w:hanging="567"/>
        <w:rPr>
          <w:spacing w:val="2"/>
        </w:rPr>
      </w:pPr>
      <w:r w:rsidRPr="009B00E2">
        <w:rPr>
          <w:spacing w:val="2"/>
        </w:rPr>
        <w:t xml:space="preserve">no Pircēja puses:  </w:t>
      </w:r>
    </w:p>
    <w:p w:rsidR="00857261" w:rsidRPr="009B00E2" w:rsidRDefault="00857261" w:rsidP="00857261">
      <w:pPr>
        <w:widowControl w:val="0"/>
        <w:shd w:val="clear" w:color="auto" w:fill="FFFFFF"/>
        <w:autoSpaceDE w:val="0"/>
        <w:autoSpaceDN w:val="0"/>
        <w:adjustRightInd w:val="0"/>
        <w:spacing w:line="254" w:lineRule="exact"/>
        <w:ind w:firstLine="567"/>
      </w:pPr>
      <w:r w:rsidRPr="00057E35">
        <w:t xml:space="preserve">Andrejs Kanapuhins, tālrunis: </w:t>
      </w:r>
      <w:r w:rsidR="003A33A3" w:rsidRPr="003A33A3">
        <w:t>67069295</w:t>
      </w:r>
      <w:bookmarkStart w:id="1" w:name="_GoBack"/>
      <w:bookmarkEnd w:id="1"/>
      <w:r w:rsidRPr="00057E35">
        <w:t>, e-pasts:  andrejs.</w:t>
      </w:r>
      <w:r>
        <w:t>kanapuhins@stradini.lv</w:t>
      </w:r>
      <w:r w:rsidRPr="009B00E2">
        <w:t>;</w:t>
      </w:r>
    </w:p>
    <w:p w:rsidR="00857261" w:rsidRPr="001260F6" w:rsidRDefault="00857261" w:rsidP="00857261">
      <w:pPr>
        <w:widowControl w:val="0"/>
        <w:numPr>
          <w:ilvl w:val="2"/>
          <w:numId w:val="2"/>
        </w:numPr>
        <w:shd w:val="clear" w:color="auto" w:fill="FFFFFF"/>
        <w:tabs>
          <w:tab w:val="clear" w:pos="720"/>
        </w:tabs>
        <w:autoSpaceDE w:val="0"/>
        <w:autoSpaceDN w:val="0"/>
        <w:adjustRightInd w:val="0"/>
        <w:spacing w:line="254" w:lineRule="exact"/>
        <w:ind w:left="1134" w:hanging="567"/>
        <w:rPr>
          <w:spacing w:val="2"/>
          <w:highlight w:val="yellow"/>
        </w:rPr>
      </w:pPr>
      <w:r w:rsidRPr="001260F6">
        <w:rPr>
          <w:spacing w:val="2"/>
          <w:highlight w:val="yellow"/>
        </w:rPr>
        <w:t>no Piegādātāja puses:</w:t>
      </w:r>
    </w:p>
    <w:p w:rsidR="00857261" w:rsidRPr="009B00E2" w:rsidRDefault="00857261" w:rsidP="00857261">
      <w:pPr>
        <w:widowControl w:val="0"/>
        <w:autoSpaceDE w:val="0"/>
        <w:autoSpaceDN w:val="0"/>
        <w:adjustRightInd w:val="0"/>
        <w:spacing w:line="254" w:lineRule="exact"/>
        <w:ind w:left="567"/>
        <w:rPr>
          <w:spacing w:val="2"/>
        </w:rPr>
      </w:pPr>
      <w:r w:rsidRPr="001260F6">
        <w:rPr>
          <w:spacing w:val="2"/>
          <w:highlight w:val="yellow"/>
        </w:rPr>
        <w:t xml:space="preserve">________________, tālrunis: ____________; e-pasts: </w:t>
      </w:r>
      <w:r w:rsidRPr="001260F6">
        <w:rPr>
          <w:highlight w:val="yellow"/>
        </w:rPr>
        <w:t>____________</w:t>
      </w:r>
    </w:p>
    <w:p w:rsidR="00857261" w:rsidRPr="009B00E2" w:rsidRDefault="00857261" w:rsidP="00857261">
      <w:pPr>
        <w:widowControl w:val="0"/>
        <w:autoSpaceDE w:val="0"/>
        <w:autoSpaceDN w:val="0"/>
        <w:adjustRightInd w:val="0"/>
        <w:spacing w:line="254" w:lineRule="exact"/>
        <w:ind w:firstLine="720"/>
        <w:rPr>
          <w:spacing w:val="2"/>
        </w:rPr>
      </w:pPr>
    </w:p>
    <w:p w:rsidR="00857261" w:rsidRPr="009B00E2" w:rsidRDefault="00857261" w:rsidP="00857261">
      <w:pPr>
        <w:numPr>
          <w:ilvl w:val="0"/>
          <w:numId w:val="2"/>
        </w:numPr>
        <w:shd w:val="clear" w:color="auto" w:fill="FFFFFF"/>
        <w:ind w:left="0" w:firstLine="0"/>
        <w:jc w:val="center"/>
        <w:rPr>
          <w:b/>
          <w:bCs/>
        </w:rPr>
      </w:pPr>
      <w:r w:rsidRPr="009B00E2">
        <w:rPr>
          <w:b/>
          <w:bCs/>
        </w:rPr>
        <w:t>PREČU KVALITĀTES PRASĪBAS</w:t>
      </w:r>
    </w:p>
    <w:p w:rsidR="00857261" w:rsidRPr="009B00E2" w:rsidRDefault="00857261" w:rsidP="00857261">
      <w:pPr>
        <w:numPr>
          <w:ilvl w:val="1"/>
          <w:numId w:val="2"/>
        </w:numPr>
        <w:tabs>
          <w:tab w:val="clear" w:pos="420"/>
          <w:tab w:val="num" w:pos="567"/>
          <w:tab w:val="left" w:pos="600"/>
        </w:tabs>
        <w:ind w:left="567" w:hanging="567"/>
      </w:pPr>
      <w:r w:rsidRPr="009B00E2">
        <w:t>Precēm jābūt piegādātām iepakojumā, kas nodrošina Preču saglabāšanu tās pārvadāšanas un glabāšanas laikā atbilstoši ražotāja noteiktām prasībām un spēkā esošiem normatīvajiem aktiem.</w:t>
      </w:r>
    </w:p>
    <w:p w:rsidR="00857261" w:rsidRPr="009B00E2" w:rsidRDefault="00857261" w:rsidP="00857261">
      <w:pPr>
        <w:numPr>
          <w:ilvl w:val="1"/>
          <w:numId w:val="2"/>
        </w:numPr>
        <w:tabs>
          <w:tab w:val="clear" w:pos="420"/>
          <w:tab w:val="num" w:pos="567"/>
          <w:tab w:val="left" w:pos="600"/>
        </w:tabs>
        <w:ind w:left="567" w:hanging="567"/>
      </w:pPr>
      <w:r w:rsidRPr="009B00E2">
        <w:t>Precēm jābūt ar instrukcijām latviešu valodā atbilstoši spēkā esošiem normatīvajiem aktiem.</w:t>
      </w:r>
    </w:p>
    <w:p w:rsidR="00857261" w:rsidRPr="009B00E2" w:rsidRDefault="00857261" w:rsidP="00857261">
      <w:pPr>
        <w:tabs>
          <w:tab w:val="left" w:pos="600"/>
        </w:tabs>
      </w:pPr>
    </w:p>
    <w:p w:rsidR="00857261" w:rsidRPr="009B00E2" w:rsidRDefault="00857261" w:rsidP="00857261">
      <w:pPr>
        <w:numPr>
          <w:ilvl w:val="0"/>
          <w:numId w:val="2"/>
        </w:numPr>
        <w:shd w:val="clear" w:color="auto" w:fill="FFFFFF"/>
        <w:ind w:left="0" w:firstLine="0"/>
        <w:jc w:val="center"/>
        <w:rPr>
          <w:b/>
          <w:bCs/>
        </w:rPr>
      </w:pPr>
      <w:r w:rsidRPr="009B00E2">
        <w:rPr>
          <w:b/>
          <w:bCs/>
        </w:rPr>
        <w:t>LĪDZĒJU ATBILDĪBA</w:t>
      </w:r>
    </w:p>
    <w:p w:rsidR="00857261" w:rsidRPr="009B00E2" w:rsidRDefault="00857261" w:rsidP="00857261">
      <w:pPr>
        <w:numPr>
          <w:ilvl w:val="1"/>
          <w:numId w:val="2"/>
        </w:numPr>
        <w:shd w:val="clear" w:color="auto" w:fill="FFFFFF"/>
        <w:tabs>
          <w:tab w:val="clear" w:pos="420"/>
        </w:tabs>
        <w:ind w:left="567" w:hanging="567"/>
      </w:pPr>
      <w:r w:rsidRPr="009B00E2">
        <w:rPr>
          <w:spacing w:val="2"/>
        </w:rPr>
        <w:t xml:space="preserve">Par Preces nesavlaicīgu piegādi Piegādātājs maksā Pircējam līgumsodu 0,05% (nulle komats nulle pieci procenti) apmērā no nepiegādāto Preču vērtības (t.sk. PVN) par katru nokavējuma dienu, bet ne vairāk kā </w:t>
      </w:r>
      <w:r>
        <w:rPr>
          <w:spacing w:val="2"/>
        </w:rPr>
        <w:t>10</w:t>
      </w:r>
      <w:r w:rsidRPr="009B00E2">
        <w:rPr>
          <w:spacing w:val="2"/>
        </w:rPr>
        <w:t>% (</w:t>
      </w:r>
      <w:r>
        <w:rPr>
          <w:spacing w:val="2"/>
        </w:rPr>
        <w:t>desmit</w:t>
      </w:r>
      <w:r w:rsidRPr="009B00E2">
        <w:rPr>
          <w:spacing w:val="2"/>
        </w:rPr>
        <w:t xml:space="preserve"> procenti) no nepiegādāto Preču summas. </w:t>
      </w:r>
    </w:p>
    <w:p w:rsidR="00857261" w:rsidRPr="009B00E2" w:rsidRDefault="00857261" w:rsidP="00857261">
      <w:pPr>
        <w:numPr>
          <w:ilvl w:val="1"/>
          <w:numId w:val="2"/>
        </w:numPr>
        <w:shd w:val="clear" w:color="auto" w:fill="FFFFFF"/>
        <w:tabs>
          <w:tab w:val="clear" w:pos="420"/>
        </w:tabs>
        <w:ind w:left="567" w:hanging="567"/>
      </w:pPr>
      <w:r w:rsidRPr="009B00E2">
        <w:rPr>
          <w:spacing w:val="2"/>
        </w:rPr>
        <w:lastRenderedPageBreak/>
        <w:t xml:space="preserve">Par Līgumā noteikto maksājuma termiņu nokavējumu Pircējs maksā Piegādātājam līgumsodu 0,05% (nulle komats nulle pieci procenti) apmērā no termiņā nesamaksātās naudas summas par katru nokavējuma dienu, bet ne vairāk kā </w:t>
      </w:r>
      <w:r>
        <w:rPr>
          <w:spacing w:val="2"/>
        </w:rPr>
        <w:t>10</w:t>
      </w:r>
      <w:r w:rsidRPr="009B00E2">
        <w:rPr>
          <w:spacing w:val="2"/>
        </w:rPr>
        <w:t>% (</w:t>
      </w:r>
      <w:r>
        <w:rPr>
          <w:spacing w:val="2"/>
        </w:rPr>
        <w:t>desmit</w:t>
      </w:r>
      <w:r w:rsidRPr="009B00E2">
        <w:rPr>
          <w:spacing w:val="2"/>
        </w:rPr>
        <w:t xml:space="preserve"> procenti) no kavētā maksājuma summas.</w:t>
      </w:r>
    </w:p>
    <w:p w:rsidR="00857261" w:rsidRPr="009B00E2" w:rsidRDefault="00857261" w:rsidP="00857261">
      <w:pPr>
        <w:numPr>
          <w:ilvl w:val="1"/>
          <w:numId w:val="2"/>
        </w:numPr>
        <w:shd w:val="clear" w:color="auto" w:fill="FFFFFF"/>
        <w:tabs>
          <w:tab w:val="clear" w:pos="420"/>
        </w:tabs>
        <w:ind w:left="567" w:hanging="567"/>
      </w:pPr>
      <w:r w:rsidRPr="009B00E2">
        <w:rPr>
          <w:spacing w:val="2"/>
        </w:rPr>
        <w:t>Līgumsoda samaksa Puses neatbrīvo no saistību izpildes.</w:t>
      </w:r>
    </w:p>
    <w:p w:rsidR="00857261" w:rsidRPr="009B00E2" w:rsidRDefault="00857261" w:rsidP="00857261">
      <w:pPr>
        <w:numPr>
          <w:ilvl w:val="1"/>
          <w:numId w:val="2"/>
        </w:numPr>
        <w:shd w:val="clear" w:color="auto" w:fill="FFFFFF"/>
        <w:tabs>
          <w:tab w:val="clear" w:pos="420"/>
        </w:tabs>
        <w:ind w:left="567" w:hanging="567"/>
      </w:pPr>
      <w:r w:rsidRPr="009B00E2">
        <w:t>Puses ir atbildīgas par to darbības/bezdarbības rezultātā otrai Pusei nodarītajiem zaudējumiem.</w:t>
      </w:r>
    </w:p>
    <w:p w:rsidR="00857261" w:rsidRPr="009B00E2" w:rsidRDefault="00857261" w:rsidP="00857261">
      <w:pPr>
        <w:shd w:val="clear" w:color="auto" w:fill="FFFFFF"/>
      </w:pPr>
    </w:p>
    <w:p w:rsidR="00857261" w:rsidRPr="009B00E2" w:rsidRDefault="00857261" w:rsidP="00857261">
      <w:pPr>
        <w:numPr>
          <w:ilvl w:val="0"/>
          <w:numId w:val="2"/>
        </w:numPr>
        <w:shd w:val="clear" w:color="auto" w:fill="FFFFFF"/>
        <w:ind w:left="0" w:firstLine="0"/>
        <w:jc w:val="center"/>
        <w:rPr>
          <w:b/>
          <w:bCs/>
        </w:rPr>
      </w:pPr>
      <w:r w:rsidRPr="009B00E2">
        <w:rPr>
          <w:b/>
          <w:bCs/>
        </w:rPr>
        <w:t>NEPĀRVARAMAS VARAS APSTĀKĻI</w:t>
      </w:r>
    </w:p>
    <w:p w:rsidR="00857261" w:rsidRPr="009B00E2" w:rsidRDefault="00857261" w:rsidP="00857261">
      <w:pPr>
        <w:numPr>
          <w:ilvl w:val="1"/>
          <w:numId w:val="2"/>
        </w:numPr>
        <w:shd w:val="clear" w:color="auto" w:fill="FFFFFF"/>
        <w:tabs>
          <w:tab w:val="clear" w:pos="420"/>
        </w:tabs>
        <w:ind w:left="567" w:hanging="567"/>
      </w:pPr>
      <w:r w:rsidRPr="009B00E2">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857261" w:rsidRPr="009B00E2" w:rsidRDefault="00857261" w:rsidP="00857261">
      <w:pPr>
        <w:numPr>
          <w:ilvl w:val="1"/>
          <w:numId w:val="2"/>
        </w:numPr>
        <w:shd w:val="clear" w:color="auto" w:fill="FFFFFF"/>
        <w:tabs>
          <w:tab w:val="clear" w:pos="420"/>
        </w:tabs>
        <w:ind w:left="567" w:hanging="567"/>
        <w:rPr>
          <w:spacing w:val="6"/>
        </w:rPr>
      </w:pPr>
      <w:r w:rsidRPr="009B00E2">
        <w:t>Pie šādiem apstākļiem pieskaitāmi - ugunsnelaime, kara darbība, vispārēja avārija, epidēmija, dabas stihija, kā arī likumdevēja, izpildinstitūciju un tiesu darbības un to pieņemtie akti, kā arī citi apstākļi, kas neiekļaujas Pušu iespējamās kontroles un ietekmes robežās.</w:t>
      </w:r>
    </w:p>
    <w:p w:rsidR="00857261" w:rsidRPr="009B00E2" w:rsidRDefault="00857261" w:rsidP="00857261">
      <w:pPr>
        <w:numPr>
          <w:ilvl w:val="1"/>
          <w:numId w:val="2"/>
        </w:numPr>
        <w:shd w:val="clear" w:color="auto" w:fill="FFFFFF"/>
        <w:tabs>
          <w:tab w:val="clear" w:pos="420"/>
        </w:tabs>
        <w:ind w:left="567" w:hanging="567"/>
        <w:rPr>
          <w:spacing w:val="6"/>
        </w:rPr>
      </w:pPr>
      <w:r w:rsidRPr="009B00E2">
        <w:t>Par nepārvaramas varas apstākli nevar tikt atzīts piegādātāju un citu sadarbības partneru saistību neizpilde, vai nesavlaicīga izpilde, vispārēja cenu celšanās, t.sk. degvielas, elektroenerģijas, gāzes u.c. cenu celšanās, vispārēja inflācija, valūtas kursu svārstības un citi biznesa riski.</w:t>
      </w:r>
    </w:p>
    <w:p w:rsidR="00857261" w:rsidRPr="009B00E2" w:rsidRDefault="00857261" w:rsidP="00857261">
      <w:pPr>
        <w:numPr>
          <w:ilvl w:val="1"/>
          <w:numId w:val="2"/>
        </w:numPr>
        <w:shd w:val="clear" w:color="auto" w:fill="FFFFFF"/>
        <w:tabs>
          <w:tab w:val="clear" w:pos="420"/>
        </w:tabs>
        <w:ind w:left="567" w:hanging="567"/>
        <w:rPr>
          <w:spacing w:val="6"/>
        </w:rPr>
      </w:pPr>
      <w:r w:rsidRPr="009B00E2">
        <w:t>Tai Pusei, kas atsaucas uz nepārvaramu, ārkārtēja rakstura apstākļu darbību, 3 (trīs) darbdienu laikā par tiem jāpaziņo otrai Pusei, norādot iespējamo saistību izpildes termiņu.</w:t>
      </w:r>
    </w:p>
    <w:p w:rsidR="00857261" w:rsidRPr="009B00E2" w:rsidRDefault="00857261" w:rsidP="00857261">
      <w:pPr>
        <w:numPr>
          <w:ilvl w:val="1"/>
          <w:numId w:val="2"/>
        </w:numPr>
        <w:shd w:val="clear" w:color="auto" w:fill="FFFFFF"/>
        <w:tabs>
          <w:tab w:val="clear" w:pos="420"/>
        </w:tabs>
        <w:ind w:left="567" w:hanging="567"/>
        <w:rPr>
          <w:spacing w:val="6"/>
        </w:rPr>
      </w:pPr>
      <w:r w:rsidRPr="009B00E2">
        <w:t>Ja nepārvaramu, ārkārtēja rakstura apstākļu dēļ Līguma izpilde aizkavējas vairāk kā par 30 (trīsdesmit) kalendārajām dienām, katrai no Pusēm ir tiesības vienpusēji lauzt Līgumu. Ja Līgums šādā kārtā tiek lauzts, nevienai no Pusēm nav tiesību pieprasīt no otras Puses zaudējumu atlīdzību.</w:t>
      </w:r>
    </w:p>
    <w:p w:rsidR="00857261" w:rsidRPr="009B00E2" w:rsidRDefault="00857261" w:rsidP="00857261">
      <w:pPr>
        <w:widowControl w:val="0"/>
        <w:shd w:val="clear" w:color="auto" w:fill="FFFFFF"/>
        <w:tabs>
          <w:tab w:val="left" w:pos="720"/>
        </w:tabs>
        <w:autoSpaceDE w:val="0"/>
        <w:autoSpaceDN w:val="0"/>
        <w:adjustRightInd w:val="0"/>
        <w:spacing w:line="254" w:lineRule="exact"/>
        <w:rPr>
          <w:spacing w:val="6"/>
        </w:rPr>
      </w:pPr>
    </w:p>
    <w:p w:rsidR="00857261" w:rsidRPr="009B00E2" w:rsidRDefault="00857261" w:rsidP="00857261">
      <w:pPr>
        <w:numPr>
          <w:ilvl w:val="0"/>
          <w:numId w:val="2"/>
        </w:numPr>
        <w:shd w:val="clear" w:color="auto" w:fill="FFFFFF"/>
        <w:tabs>
          <w:tab w:val="clear" w:pos="420"/>
          <w:tab w:val="left" w:pos="709"/>
        </w:tabs>
        <w:ind w:left="0" w:firstLine="0"/>
        <w:jc w:val="center"/>
        <w:rPr>
          <w:b/>
          <w:bCs/>
        </w:rPr>
      </w:pPr>
      <w:r w:rsidRPr="009B00E2">
        <w:rPr>
          <w:b/>
          <w:bCs/>
        </w:rPr>
        <w:t>LĪGUMA TERMIŅŠ, GROZĪŠANAS KĀRTĪBA UN IZBEIGŠANA</w:t>
      </w:r>
    </w:p>
    <w:p w:rsidR="00857261" w:rsidRDefault="00857261" w:rsidP="00857261">
      <w:pPr>
        <w:numPr>
          <w:ilvl w:val="1"/>
          <w:numId w:val="2"/>
        </w:numPr>
        <w:shd w:val="clear" w:color="auto" w:fill="FFFFFF"/>
        <w:tabs>
          <w:tab w:val="clear" w:pos="420"/>
          <w:tab w:val="num" w:pos="567"/>
        </w:tabs>
        <w:ind w:left="567" w:hanging="567"/>
        <w:rPr>
          <w:b/>
          <w:bCs/>
        </w:rPr>
      </w:pPr>
      <w:r w:rsidRPr="009B00E2">
        <w:rPr>
          <w:spacing w:val="-3"/>
        </w:rPr>
        <w:t xml:space="preserve">Līguma darbības termiņš ir </w:t>
      </w:r>
      <w:r>
        <w:rPr>
          <w:spacing w:val="-3"/>
        </w:rPr>
        <w:t>36</w:t>
      </w:r>
      <w:r w:rsidRPr="009B00E2">
        <w:rPr>
          <w:spacing w:val="-3"/>
        </w:rPr>
        <w:t xml:space="preserve"> (</w:t>
      </w:r>
      <w:r>
        <w:rPr>
          <w:spacing w:val="-3"/>
        </w:rPr>
        <w:t>trīsdesmit seši</w:t>
      </w:r>
      <w:r w:rsidRPr="009B00E2">
        <w:rPr>
          <w:spacing w:val="-3"/>
        </w:rPr>
        <w:t>) mēneši no Līguma spēkā stāšanās dienas</w:t>
      </w:r>
      <w:r>
        <w:rPr>
          <w:spacing w:val="-3"/>
        </w:rPr>
        <w:t xml:space="preserve"> vai līdz Līguma summas sasniegšanai atkarībā no tā, kurš no apstākļiem iestājas pirmais</w:t>
      </w:r>
      <w:r w:rsidRPr="009B00E2">
        <w:rPr>
          <w:spacing w:val="-3"/>
        </w:rPr>
        <w:t>. Līgums stājas spēkā ar dienu, kad tas ir abpusēji parakstīts, un ir spēkā līdz Līgumā noteikto saistību pilnīgas izpildes brīdim.</w:t>
      </w:r>
    </w:p>
    <w:p w:rsidR="00857261" w:rsidRPr="001F5010" w:rsidRDefault="00857261" w:rsidP="00857261">
      <w:pPr>
        <w:numPr>
          <w:ilvl w:val="1"/>
          <w:numId w:val="2"/>
        </w:numPr>
        <w:shd w:val="clear" w:color="auto" w:fill="FFFFFF"/>
        <w:tabs>
          <w:tab w:val="clear" w:pos="420"/>
          <w:tab w:val="num" w:pos="567"/>
        </w:tabs>
        <w:ind w:left="567" w:hanging="567"/>
        <w:rPr>
          <w:b/>
          <w:bCs/>
        </w:rPr>
      </w:pPr>
      <w:r w:rsidRPr="001F5010">
        <w:rPr>
          <w:spacing w:val="-3"/>
        </w:rPr>
        <w:t xml:space="preserve">Ja Līguma darbības laikā netiek sasniegta maksimālā Līguma summa, Līguma darbības termiņu var pagarināt, veicot atbilstošus grozījumus Līgumā. </w:t>
      </w:r>
    </w:p>
    <w:p w:rsidR="00857261" w:rsidRPr="009B00E2" w:rsidRDefault="00857261" w:rsidP="00857261">
      <w:pPr>
        <w:numPr>
          <w:ilvl w:val="1"/>
          <w:numId w:val="2"/>
        </w:numPr>
        <w:tabs>
          <w:tab w:val="clear" w:pos="420"/>
          <w:tab w:val="num" w:pos="567"/>
        </w:tabs>
        <w:ind w:left="567" w:hanging="567"/>
      </w:pPr>
      <w:r w:rsidRPr="009B00E2">
        <w:t>Līguma noteikumi var tikt grozīti,  Pusēm vienojoties. Visi Līguma grozījumi noformējami rakstiski 2 (divos) identiskos eksemplāros un pievienojami Līgumam kā neatņemamas sastāvdaļas. Viens eksemplārs glabājas pie Piegādātāja</w:t>
      </w:r>
      <w:r w:rsidRPr="009B00E2">
        <w:rPr>
          <w:caps/>
        </w:rPr>
        <w:t>,</w:t>
      </w:r>
      <w:r w:rsidRPr="009B00E2">
        <w:t xml:space="preserve"> bet otrs pie Pircēja.</w:t>
      </w:r>
    </w:p>
    <w:p w:rsidR="00857261" w:rsidRPr="009B00E2" w:rsidRDefault="00857261" w:rsidP="00857261">
      <w:pPr>
        <w:numPr>
          <w:ilvl w:val="1"/>
          <w:numId w:val="2"/>
        </w:numPr>
        <w:tabs>
          <w:tab w:val="clear" w:pos="420"/>
          <w:tab w:val="num" w:pos="567"/>
        </w:tabs>
        <w:ind w:left="567" w:hanging="567"/>
      </w:pPr>
      <w:r w:rsidRPr="009B00E2">
        <w:t>Līguma grozījumi stājas spēkā ar dienu, kad tie parakstīti</w:t>
      </w:r>
      <w:r w:rsidRPr="009B00E2">
        <w:rPr>
          <w:spacing w:val="-3"/>
        </w:rPr>
        <w:t xml:space="preserve"> gan no </w:t>
      </w:r>
      <w:r w:rsidRPr="009B00E2">
        <w:t>Pircēja, gan no Piegādātāja Puses.</w:t>
      </w:r>
    </w:p>
    <w:p w:rsidR="00857261" w:rsidRPr="009B00E2" w:rsidRDefault="00857261" w:rsidP="00857261">
      <w:pPr>
        <w:numPr>
          <w:ilvl w:val="1"/>
          <w:numId w:val="2"/>
        </w:numPr>
        <w:tabs>
          <w:tab w:val="clear" w:pos="420"/>
          <w:tab w:val="num" w:pos="567"/>
        </w:tabs>
        <w:ind w:left="567" w:hanging="567"/>
        <w:rPr>
          <w:b/>
          <w:bCs/>
        </w:rPr>
      </w:pPr>
      <w:r w:rsidRPr="009B00E2">
        <w:t xml:space="preserve">Pusēm ir tiesības vienpusēji atkāpties no Līguma 30 (trīsdesmit) darba dienas iepriekš par to rakstiski brīdinot otru Pusi. Par brīdinājumu tiek uzskatīts </w:t>
      </w:r>
      <w:proofErr w:type="spellStart"/>
      <w:r w:rsidRPr="009B00E2">
        <w:t>rakstveidā</w:t>
      </w:r>
      <w:proofErr w:type="spellEnd"/>
      <w:r w:rsidRPr="009B00E2">
        <w:t xml:space="preserve"> noformēts un otrai Pusei nosūtīts paziņojums.</w:t>
      </w:r>
    </w:p>
    <w:p w:rsidR="00857261" w:rsidRPr="009B00E2" w:rsidRDefault="00857261" w:rsidP="00857261">
      <w:pPr>
        <w:numPr>
          <w:ilvl w:val="1"/>
          <w:numId w:val="2"/>
        </w:numPr>
        <w:tabs>
          <w:tab w:val="clear" w:pos="420"/>
          <w:tab w:val="num" w:pos="567"/>
        </w:tabs>
        <w:ind w:left="567" w:hanging="567"/>
      </w:pPr>
      <w:r w:rsidRPr="009B00E2">
        <w:t>Pircējam ir tiesības vienpusēji izbeigt Līgumu saskaņā 8.4. punktu, nosūtot Piegādātājam rakstisku paziņojumu, ja iestājies vismaz viens no šādiem gadījumiem:</w:t>
      </w:r>
    </w:p>
    <w:p w:rsidR="00857261" w:rsidRPr="009B00E2" w:rsidRDefault="00857261" w:rsidP="00857261">
      <w:pPr>
        <w:numPr>
          <w:ilvl w:val="2"/>
          <w:numId w:val="2"/>
        </w:numPr>
        <w:tabs>
          <w:tab w:val="left" w:pos="1100"/>
          <w:tab w:val="left" w:pos="1300"/>
        </w:tabs>
        <w:ind w:hanging="220"/>
        <w:rPr>
          <w:lang w:eastAsia="ar-SA"/>
        </w:rPr>
      </w:pPr>
      <w:r w:rsidRPr="009B00E2">
        <w:rPr>
          <w:lang w:eastAsia="ar-SA"/>
        </w:rPr>
        <w:t>notikusi Piegādātāja labprātīga vai piespiedu likvidācija;</w:t>
      </w:r>
    </w:p>
    <w:p w:rsidR="00857261" w:rsidRPr="009B00E2" w:rsidRDefault="00857261" w:rsidP="00857261">
      <w:pPr>
        <w:numPr>
          <w:ilvl w:val="2"/>
          <w:numId w:val="2"/>
        </w:numPr>
        <w:tabs>
          <w:tab w:val="left" w:pos="1100"/>
          <w:tab w:val="left" w:pos="1300"/>
        </w:tabs>
        <w:ind w:hanging="220"/>
        <w:rPr>
          <w:lang w:eastAsia="ar-SA"/>
        </w:rPr>
      </w:pPr>
      <w:r w:rsidRPr="009B00E2">
        <w:rPr>
          <w:lang w:eastAsia="ar-SA"/>
        </w:rPr>
        <w:t>pret Piegādātāju uzsākta maksātnespējas procedūra;</w:t>
      </w:r>
    </w:p>
    <w:p w:rsidR="00857261" w:rsidRPr="009B00E2" w:rsidRDefault="00857261" w:rsidP="00857261">
      <w:pPr>
        <w:numPr>
          <w:ilvl w:val="2"/>
          <w:numId w:val="2"/>
        </w:numPr>
        <w:tabs>
          <w:tab w:val="clear" w:pos="720"/>
          <w:tab w:val="num" w:pos="1100"/>
          <w:tab w:val="left" w:pos="1300"/>
        </w:tabs>
        <w:ind w:left="1100" w:hanging="600"/>
        <w:rPr>
          <w:lang w:eastAsia="ar-SA"/>
        </w:rPr>
      </w:pPr>
      <w:r w:rsidRPr="009B00E2">
        <w:lastRenderedPageBreak/>
        <w:t>ja Preču lietošana izraisa ārstniecības procesa būtiskas izmaiņas, kas var radīt draudus pacienta veselībai vai dzīvībai, Preču kvalitātes prasības būtiski atšķiras no tehniskajās specifikācijās norādītajām.</w:t>
      </w:r>
    </w:p>
    <w:p w:rsidR="00857261" w:rsidRPr="009B00E2" w:rsidRDefault="00857261" w:rsidP="00857261">
      <w:pPr>
        <w:numPr>
          <w:ilvl w:val="1"/>
          <w:numId w:val="2"/>
        </w:numPr>
        <w:tabs>
          <w:tab w:val="clear" w:pos="420"/>
          <w:tab w:val="num" w:pos="567"/>
          <w:tab w:val="left" w:pos="600"/>
        </w:tabs>
        <w:ind w:left="567" w:hanging="567"/>
      </w:pPr>
      <w:r w:rsidRPr="009B00E2">
        <w:t>Piegādātājam ir tiesības vienpusēji izbeigt  Līgumu saskaņā ar 8.4. punktu, nosūtot Pircējam rakstisku paziņojumu, ja iestājies vismaz viens no šādiem gadījumiem:</w:t>
      </w:r>
    </w:p>
    <w:p w:rsidR="00857261" w:rsidRPr="009B00E2" w:rsidRDefault="00857261" w:rsidP="00857261">
      <w:pPr>
        <w:numPr>
          <w:ilvl w:val="2"/>
          <w:numId w:val="2"/>
        </w:numPr>
        <w:tabs>
          <w:tab w:val="left" w:pos="1100"/>
        </w:tabs>
        <w:ind w:hanging="220"/>
        <w:rPr>
          <w:lang w:eastAsia="ar-SA"/>
        </w:rPr>
      </w:pPr>
      <w:r w:rsidRPr="009B00E2">
        <w:rPr>
          <w:lang w:eastAsia="ar-SA"/>
        </w:rPr>
        <w:t>notikusi Pircēja labprātīga vai piespiedu likvidācija;</w:t>
      </w:r>
    </w:p>
    <w:p w:rsidR="00857261" w:rsidRPr="009B00E2" w:rsidRDefault="00857261" w:rsidP="00857261">
      <w:pPr>
        <w:numPr>
          <w:ilvl w:val="2"/>
          <w:numId w:val="2"/>
        </w:numPr>
        <w:tabs>
          <w:tab w:val="left" w:pos="1100"/>
        </w:tabs>
        <w:ind w:hanging="220"/>
        <w:rPr>
          <w:lang w:eastAsia="ar-SA"/>
        </w:rPr>
      </w:pPr>
      <w:r w:rsidRPr="009B00E2">
        <w:rPr>
          <w:lang w:eastAsia="ar-SA"/>
        </w:rPr>
        <w:t>pret Pircēju uzsākta maksātnespējas procedūra.</w:t>
      </w:r>
    </w:p>
    <w:p w:rsidR="00857261" w:rsidRPr="009B00E2" w:rsidRDefault="00857261" w:rsidP="00857261">
      <w:pPr>
        <w:ind w:left="540"/>
      </w:pPr>
    </w:p>
    <w:p w:rsidR="00857261" w:rsidRPr="009B00E2" w:rsidRDefault="00857261" w:rsidP="00857261">
      <w:pPr>
        <w:numPr>
          <w:ilvl w:val="0"/>
          <w:numId w:val="2"/>
        </w:numPr>
        <w:shd w:val="clear" w:color="auto" w:fill="FFFFFF"/>
        <w:ind w:left="0" w:firstLine="0"/>
        <w:jc w:val="center"/>
        <w:rPr>
          <w:b/>
          <w:bCs/>
        </w:rPr>
      </w:pPr>
      <w:r w:rsidRPr="009B00E2">
        <w:rPr>
          <w:b/>
          <w:bCs/>
          <w:spacing w:val="4"/>
        </w:rPr>
        <w:t>CITI NOTEIKUMI</w:t>
      </w:r>
    </w:p>
    <w:p w:rsidR="00857261" w:rsidRPr="009B00E2" w:rsidRDefault="00857261" w:rsidP="00857261">
      <w:pPr>
        <w:numPr>
          <w:ilvl w:val="1"/>
          <w:numId w:val="2"/>
        </w:numPr>
        <w:shd w:val="clear" w:color="auto" w:fill="FFFFFF"/>
        <w:tabs>
          <w:tab w:val="clear" w:pos="420"/>
        </w:tabs>
        <w:ind w:left="600" w:hanging="600"/>
      </w:pPr>
      <w:r w:rsidRPr="009B00E2">
        <w:t>Jautājumi, kas nav noteikti Līgumā, tiek risināti saskaņā ar spēkā esošajiem Latvijas Republikas tiesību normatīvajiem aktiem.</w:t>
      </w:r>
    </w:p>
    <w:p w:rsidR="00857261" w:rsidRPr="009B00E2" w:rsidRDefault="00857261" w:rsidP="00857261">
      <w:pPr>
        <w:numPr>
          <w:ilvl w:val="1"/>
          <w:numId w:val="2"/>
        </w:numPr>
        <w:shd w:val="clear" w:color="auto" w:fill="FFFFFF"/>
        <w:tabs>
          <w:tab w:val="clear" w:pos="420"/>
        </w:tabs>
        <w:ind w:left="600" w:hanging="600"/>
      </w:pPr>
      <w:r w:rsidRPr="009B00E2">
        <w:t>Līguma izpildes laikā radušos strīdus Puses risina vienojoties vai, ja vienošanās nav iespējama, strīdu izskata tiesā Latvijas Republikas tiesību aktos noteiktajā kārtībā.</w:t>
      </w:r>
    </w:p>
    <w:p w:rsidR="00857261" w:rsidRPr="009B00E2" w:rsidRDefault="00857261" w:rsidP="00857261">
      <w:pPr>
        <w:numPr>
          <w:ilvl w:val="1"/>
          <w:numId w:val="2"/>
        </w:numPr>
        <w:shd w:val="clear" w:color="auto" w:fill="FFFFFF"/>
        <w:tabs>
          <w:tab w:val="clear" w:pos="420"/>
        </w:tabs>
        <w:ind w:left="600" w:hanging="600"/>
      </w:pPr>
      <w:r w:rsidRPr="009B00E2">
        <w:t xml:space="preserve">Kādam no Līguma noteikumiem zaudējot spēku tiesību normatīvo aktu izmaiņu gadījumā, Līgums nezaudē spēku tā pārējos punktos. </w:t>
      </w:r>
    </w:p>
    <w:p w:rsidR="00857261" w:rsidRPr="009B00E2" w:rsidRDefault="00857261" w:rsidP="00857261">
      <w:pPr>
        <w:numPr>
          <w:ilvl w:val="1"/>
          <w:numId w:val="2"/>
        </w:numPr>
        <w:shd w:val="clear" w:color="auto" w:fill="FFFFFF"/>
        <w:tabs>
          <w:tab w:val="clear" w:pos="420"/>
        </w:tabs>
        <w:ind w:left="600" w:hanging="600"/>
        <w:rPr>
          <w:spacing w:val="-2"/>
        </w:rPr>
      </w:pPr>
      <w:r w:rsidRPr="009B00E2">
        <w:t xml:space="preserve">Ja kādai no </w:t>
      </w:r>
      <w:r w:rsidRPr="009B00E2">
        <w:rPr>
          <w:snapToGrid w:val="0"/>
        </w:rPr>
        <w:t>Pusēm</w:t>
      </w:r>
      <w:r w:rsidRPr="009B00E2">
        <w:t xml:space="preserve"> tiek mainīts juridiskais statuss, atrašanās vieta vai citi rekvizīti, tad tā nekavējoties paziņo par to otrai </w:t>
      </w:r>
      <w:r w:rsidRPr="009B00E2">
        <w:rPr>
          <w:snapToGrid w:val="0"/>
        </w:rPr>
        <w:t>Pusei</w:t>
      </w:r>
      <w:r w:rsidRPr="009B00E2">
        <w:t>.</w:t>
      </w:r>
    </w:p>
    <w:p w:rsidR="00857261" w:rsidRPr="009B00E2" w:rsidRDefault="00857261" w:rsidP="00857261">
      <w:pPr>
        <w:numPr>
          <w:ilvl w:val="1"/>
          <w:numId w:val="2"/>
        </w:numPr>
        <w:shd w:val="clear" w:color="auto" w:fill="FFFFFF"/>
        <w:tabs>
          <w:tab w:val="clear" w:pos="420"/>
        </w:tabs>
        <w:ind w:left="600" w:hanging="600"/>
        <w:rPr>
          <w:spacing w:val="-2"/>
        </w:rPr>
      </w:pPr>
      <w:r w:rsidRPr="009B00E2">
        <w:t xml:space="preserve">Līgums ir sastādīts un parakstīts uz </w:t>
      </w:r>
      <w:r w:rsidR="001260F6">
        <w:t>4</w:t>
      </w:r>
      <w:r w:rsidRPr="009B00E2">
        <w:t xml:space="preserve"> (</w:t>
      </w:r>
      <w:r w:rsidR="001260F6">
        <w:t>četrām</w:t>
      </w:r>
      <w:r w:rsidRPr="009B00E2">
        <w:t>) lap</w:t>
      </w:r>
      <w:r w:rsidR="001260F6">
        <w:t>ā</w:t>
      </w:r>
      <w:r w:rsidRPr="009B00E2">
        <w:t xml:space="preserve">m 2 (divos) vienādos eksemplāros, katrai Pusei pa vienam. Abiem eksemplāriem ir vienāds juridisks spēks. Līgumam pievienots 1 (viens) pielikums „Tehniskais un finanšu piedāvājums” uz </w:t>
      </w:r>
      <w:r w:rsidR="001260F6">
        <w:t>4</w:t>
      </w:r>
      <w:r w:rsidRPr="009B00E2">
        <w:t xml:space="preserve"> (</w:t>
      </w:r>
      <w:r w:rsidR="001260F6">
        <w:t>četrām</w:t>
      </w:r>
      <w:r w:rsidRPr="009B00E2">
        <w:t>) lapām.</w:t>
      </w:r>
    </w:p>
    <w:p w:rsidR="00857261" w:rsidRPr="009B00E2" w:rsidRDefault="00857261" w:rsidP="00857261">
      <w:pPr>
        <w:shd w:val="clear" w:color="auto" w:fill="FFFFFF"/>
      </w:pPr>
    </w:p>
    <w:p w:rsidR="001260F6" w:rsidRPr="001260F6" w:rsidRDefault="001260F6" w:rsidP="001260F6">
      <w:pPr>
        <w:jc w:val="center"/>
        <w:rPr>
          <w:b/>
          <w:lang w:eastAsia="lv-LV"/>
        </w:rPr>
      </w:pPr>
      <w:r>
        <w:rPr>
          <w:b/>
          <w:lang w:eastAsia="lv-LV"/>
        </w:rPr>
        <w:t>10.</w:t>
      </w:r>
      <w:r w:rsidRPr="001260F6">
        <w:rPr>
          <w:b/>
          <w:lang w:eastAsia="lv-LV"/>
        </w:rPr>
        <w:t>PUŠU REKVIZĪTI UN PARAKSTI</w:t>
      </w:r>
    </w:p>
    <w:tbl>
      <w:tblPr>
        <w:tblW w:w="9781" w:type="dxa"/>
        <w:tblInd w:w="-714" w:type="dxa"/>
        <w:tblLayout w:type="fixed"/>
        <w:tblLook w:val="0000" w:firstRow="0" w:lastRow="0" w:firstColumn="0" w:lastColumn="0" w:noHBand="0" w:noVBand="0"/>
      </w:tblPr>
      <w:tblGrid>
        <w:gridCol w:w="5075"/>
        <w:gridCol w:w="4706"/>
      </w:tblGrid>
      <w:tr w:rsidR="001260F6" w:rsidRPr="001260F6" w:rsidTr="00900380">
        <w:trPr>
          <w:trHeight w:val="2607"/>
        </w:trPr>
        <w:tc>
          <w:tcPr>
            <w:tcW w:w="5075" w:type="dxa"/>
          </w:tcPr>
          <w:p w:rsidR="001260F6" w:rsidRPr="001260F6" w:rsidRDefault="001260F6" w:rsidP="001260F6">
            <w:pPr>
              <w:snapToGrid w:val="0"/>
              <w:ind w:left="459" w:hanging="567"/>
              <w:rPr>
                <w:rFonts w:eastAsia="Calibri"/>
                <w:b/>
                <w:color w:val="000000"/>
              </w:rPr>
            </w:pPr>
            <w:r w:rsidRPr="001260F6">
              <w:rPr>
                <w:rFonts w:eastAsia="Calibri"/>
                <w:b/>
                <w:color w:val="000000"/>
              </w:rPr>
              <w:t>P</w:t>
            </w:r>
            <w:r>
              <w:rPr>
                <w:rFonts w:eastAsia="Calibri"/>
                <w:b/>
                <w:color w:val="000000"/>
              </w:rPr>
              <w:t>ircējs</w:t>
            </w:r>
            <w:r w:rsidRPr="001260F6">
              <w:rPr>
                <w:rFonts w:eastAsia="Calibri"/>
                <w:b/>
                <w:color w:val="000000"/>
              </w:rPr>
              <w:t>:</w:t>
            </w:r>
          </w:p>
          <w:p w:rsidR="001260F6" w:rsidRPr="001260F6" w:rsidRDefault="001260F6" w:rsidP="001260F6">
            <w:pPr>
              <w:ind w:right="-1" w:hanging="104"/>
              <w:rPr>
                <w:b/>
                <w:bCs/>
              </w:rPr>
            </w:pPr>
            <w:r w:rsidRPr="001260F6">
              <w:rPr>
                <w:b/>
                <w:bCs/>
              </w:rPr>
              <w:t>VSIA “Paula Stradiņa klīniskās</w:t>
            </w:r>
          </w:p>
          <w:p w:rsidR="001260F6" w:rsidRPr="001260F6" w:rsidRDefault="001260F6" w:rsidP="001260F6">
            <w:pPr>
              <w:ind w:right="-1" w:hanging="104"/>
              <w:rPr>
                <w:b/>
                <w:bCs/>
              </w:rPr>
            </w:pPr>
            <w:r w:rsidRPr="001260F6">
              <w:rPr>
                <w:b/>
                <w:bCs/>
              </w:rPr>
              <w:t>universitātes slimnīca”</w:t>
            </w:r>
          </w:p>
          <w:p w:rsidR="001260F6" w:rsidRPr="001260F6" w:rsidRDefault="001260F6" w:rsidP="001260F6">
            <w:pPr>
              <w:ind w:right="-1" w:hanging="104"/>
            </w:pPr>
            <w:proofErr w:type="spellStart"/>
            <w:r w:rsidRPr="001260F6">
              <w:t>Reģ</w:t>
            </w:r>
            <w:proofErr w:type="spellEnd"/>
            <w:r w:rsidRPr="001260F6">
              <w:t xml:space="preserve">. Nr. </w:t>
            </w:r>
            <w:r w:rsidRPr="001260F6">
              <w:rPr>
                <w:lang w:val="en-GB"/>
              </w:rPr>
              <w:t>40003457109</w:t>
            </w:r>
          </w:p>
          <w:p w:rsidR="001260F6" w:rsidRPr="001260F6" w:rsidRDefault="001260F6" w:rsidP="001260F6">
            <w:pPr>
              <w:ind w:right="-1" w:hanging="104"/>
            </w:pPr>
            <w:r w:rsidRPr="001260F6">
              <w:t>Pilsoņu iela 13, Rīga, LV - 1002</w:t>
            </w:r>
          </w:p>
          <w:p w:rsidR="001260F6" w:rsidRPr="001260F6" w:rsidRDefault="001260F6" w:rsidP="001260F6">
            <w:pPr>
              <w:ind w:right="-1" w:hanging="104"/>
            </w:pPr>
            <w:r w:rsidRPr="001260F6">
              <w:t xml:space="preserve">Konta Nr.: LV74HABA0551027673367 </w:t>
            </w:r>
          </w:p>
          <w:p w:rsidR="001260F6" w:rsidRPr="001260F6" w:rsidRDefault="001260F6" w:rsidP="001260F6">
            <w:pPr>
              <w:ind w:right="-1" w:hanging="104"/>
            </w:pPr>
            <w:r w:rsidRPr="001260F6">
              <w:t xml:space="preserve">Banka: Swedbank AS  </w:t>
            </w:r>
          </w:p>
          <w:p w:rsidR="001260F6" w:rsidRPr="001260F6" w:rsidRDefault="001260F6" w:rsidP="001260F6">
            <w:pPr>
              <w:tabs>
                <w:tab w:val="left" w:pos="1051"/>
                <w:tab w:val="left" w:pos="5760"/>
              </w:tabs>
              <w:ind w:left="714" w:hanging="822"/>
              <w:rPr>
                <w:rFonts w:eastAsia="Calibri"/>
                <w:b/>
                <w:bCs/>
                <w:color w:val="000000"/>
              </w:rPr>
            </w:pPr>
            <w:r w:rsidRPr="001260F6">
              <w:t>Kods: HABALV22</w:t>
            </w:r>
          </w:p>
        </w:tc>
        <w:tc>
          <w:tcPr>
            <w:tcW w:w="4706" w:type="dxa"/>
          </w:tcPr>
          <w:p w:rsidR="001260F6" w:rsidRPr="001260F6" w:rsidRDefault="001260F6" w:rsidP="001260F6">
            <w:pPr>
              <w:snapToGrid w:val="0"/>
              <w:ind w:left="459" w:hanging="567"/>
              <w:rPr>
                <w:rFonts w:eastAsia="Calibri"/>
                <w:b/>
                <w:color w:val="000000"/>
              </w:rPr>
            </w:pPr>
            <w:r w:rsidRPr="001260F6">
              <w:rPr>
                <w:rFonts w:eastAsia="Calibri"/>
                <w:b/>
                <w:color w:val="000000"/>
              </w:rPr>
              <w:t xml:space="preserve">Piegādātājs:     </w:t>
            </w:r>
          </w:p>
          <w:p w:rsidR="001260F6" w:rsidRPr="001260F6" w:rsidRDefault="001260F6" w:rsidP="001260F6">
            <w:pPr>
              <w:snapToGrid w:val="0"/>
              <w:ind w:left="459" w:hanging="567"/>
            </w:pPr>
            <w:r w:rsidRPr="001260F6">
              <w:rPr>
                <w:rFonts w:eastAsia="Calibri"/>
                <w:b/>
                <w:color w:val="000000"/>
              </w:rPr>
              <w:t>SIA „TAMRO”</w:t>
            </w:r>
          </w:p>
          <w:p w:rsidR="001260F6" w:rsidRPr="001260F6" w:rsidRDefault="001260F6" w:rsidP="001260F6">
            <w:pPr>
              <w:ind w:right="-1" w:hanging="104"/>
            </w:pPr>
            <w:proofErr w:type="spellStart"/>
            <w:r w:rsidRPr="001260F6">
              <w:t>Reģ</w:t>
            </w:r>
            <w:proofErr w:type="spellEnd"/>
            <w:r w:rsidRPr="001260F6">
              <w:t>. Nr. 40003133428</w:t>
            </w:r>
          </w:p>
          <w:p w:rsidR="001260F6" w:rsidRPr="001260F6" w:rsidRDefault="001260F6" w:rsidP="001260F6">
            <w:pPr>
              <w:ind w:right="-1" w:hanging="104"/>
            </w:pPr>
            <w:r w:rsidRPr="001260F6">
              <w:t xml:space="preserve">Noliktavu iela 5, </w:t>
            </w:r>
            <w:proofErr w:type="spellStart"/>
            <w:r w:rsidRPr="001260F6">
              <w:t>Dreiliņi</w:t>
            </w:r>
            <w:proofErr w:type="spellEnd"/>
            <w:r w:rsidRPr="001260F6">
              <w:t xml:space="preserve">, </w:t>
            </w:r>
          </w:p>
          <w:p w:rsidR="001260F6" w:rsidRPr="001260F6" w:rsidRDefault="001260F6" w:rsidP="001260F6">
            <w:pPr>
              <w:ind w:right="-1" w:hanging="104"/>
            </w:pPr>
            <w:r w:rsidRPr="001260F6">
              <w:t>Stopiņu nov., LV-2130</w:t>
            </w:r>
          </w:p>
          <w:p w:rsidR="001260F6" w:rsidRPr="001260F6" w:rsidRDefault="001260F6" w:rsidP="001260F6">
            <w:pPr>
              <w:ind w:right="-1" w:hanging="104"/>
            </w:pPr>
            <w:r w:rsidRPr="001260F6">
              <w:t>Banka: AS „SEB Banka”</w:t>
            </w:r>
          </w:p>
          <w:p w:rsidR="001260F6" w:rsidRPr="001260F6" w:rsidRDefault="001260F6" w:rsidP="001260F6">
            <w:pPr>
              <w:ind w:right="-1" w:hanging="104"/>
            </w:pPr>
            <w:r w:rsidRPr="001260F6">
              <w:t>Konts Nr.: LV59UNLA0050023612790</w:t>
            </w:r>
          </w:p>
          <w:p w:rsidR="001260F6" w:rsidRPr="001260F6" w:rsidRDefault="001260F6" w:rsidP="001260F6">
            <w:pPr>
              <w:tabs>
                <w:tab w:val="left" w:pos="4320"/>
              </w:tabs>
              <w:ind w:right="-1" w:hanging="104"/>
            </w:pPr>
            <w:r w:rsidRPr="001260F6">
              <w:t>Kods: UNLALV2X</w:t>
            </w:r>
          </w:p>
        </w:tc>
      </w:tr>
      <w:tr w:rsidR="001260F6" w:rsidRPr="001260F6" w:rsidTr="00900380">
        <w:trPr>
          <w:trHeight w:val="293"/>
        </w:trPr>
        <w:tc>
          <w:tcPr>
            <w:tcW w:w="5075" w:type="dxa"/>
          </w:tcPr>
          <w:p w:rsidR="001260F6" w:rsidRPr="001260F6" w:rsidRDefault="001260F6" w:rsidP="001260F6">
            <w:pPr>
              <w:snapToGrid w:val="0"/>
              <w:rPr>
                <w:rFonts w:eastAsia="Calibri"/>
                <w:iCs/>
                <w:color w:val="000000"/>
              </w:rPr>
            </w:pPr>
          </w:p>
          <w:p w:rsidR="001260F6" w:rsidRDefault="001260F6" w:rsidP="001260F6">
            <w:pPr>
              <w:snapToGrid w:val="0"/>
              <w:rPr>
                <w:rFonts w:eastAsia="Calibri"/>
                <w:iCs/>
                <w:color w:val="000000"/>
              </w:rPr>
            </w:pPr>
            <w:r>
              <w:rPr>
                <w:rFonts w:eastAsia="Calibri"/>
                <w:iCs/>
                <w:color w:val="000000"/>
              </w:rPr>
              <w:t>Valdes priekšsēdētāja ____________</w:t>
            </w:r>
            <w:proofErr w:type="spellStart"/>
            <w:r>
              <w:rPr>
                <w:rFonts w:eastAsia="Calibri"/>
                <w:iCs/>
                <w:color w:val="000000"/>
              </w:rPr>
              <w:t>I.Kreicberga</w:t>
            </w:r>
            <w:proofErr w:type="spellEnd"/>
          </w:p>
          <w:p w:rsidR="001260F6" w:rsidRDefault="001260F6" w:rsidP="001260F6">
            <w:pPr>
              <w:snapToGrid w:val="0"/>
              <w:rPr>
                <w:rFonts w:eastAsia="Calibri"/>
                <w:iCs/>
                <w:color w:val="000000"/>
              </w:rPr>
            </w:pPr>
          </w:p>
          <w:p w:rsidR="001260F6" w:rsidRPr="001260F6" w:rsidRDefault="001260F6" w:rsidP="001260F6">
            <w:pPr>
              <w:snapToGrid w:val="0"/>
              <w:rPr>
                <w:rFonts w:eastAsia="Calibri"/>
                <w:iCs/>
                <w:color w:val="000000"/>
              </w:rPr>
            </w:pPr>
            <w:r w:rsidRPr="001260F6">
              <w:rPr>
                <w:rFonts w:eastAsia="Calibri"/>
                <w:iCs/>
                <w:color w:val="000000"/>
              </w:rPr>
              <w:t xml:space="preserve">Valdes locekle _________________ </w:t>
            </w:r>
            <w:proofErr w:type="spellStart"/>
            <w:r w:rsidRPr="001260F6">
              <w:rPr>
                <w:rFonts w:eastAsia="Calibri"/>
                <w:iCs/>
                <w:color w:val="000000"/>
              </w:rPr>
              <w:t>A.Biruma</w:t>
            </w:r>
            <w:proofErr w:type="spellEnd"/>
          </w:p>
          <w:p w:rsidR="001260F6" w:rsidRPr="001260F6" w:rsidRDefault="001260F6" w:rsidP="001260F6">
            <w:pPr>
              <w:tabs>
                <w:tab w:val="center" w:pos="2142"/>
              </w:tabs>
              <w:ind w:right="-1"/>
              <w:jc w:val="left"/>
              <w:rPr>
                <w:rFonts w:eastAsia="Calibri"/>
                <w:iCs/>
                <w:color w:val="000000"/>
              </w:rPr>
            </w:pPr>
          </w:p>
          <w:p w:rsidR="001260F6" w:rsidRPr="001260F6" w:rsidRDefault="001260F6" w:rsidP="001260F6">
            <w:pPr>
              <w:tabs>
                <w:tab w:val="center" w:pos="2142"/>
              </w:tabs>
              <w:ind w:right="-1"/>
              <w:jc w:val="left"/>
            </w:pPr>
            <w:r w:rsidRPr="001260F6">
              <w:rPr>
                <w:rFonts w:eastAsia="Calibri"/>
                <w:iCs/>
                <w:color w:val="000000"/>
              </w:rPr>
              <w:t>Valdes locekle _________________</w:t>
            </w:r>
            <w:r w:rsidRPr="001260F6">
              <w:t xml:space="preserve"> </w:t>
            </w:r>
            <w:proofErr w:type="spellStart"/>
            <w:r w:rsidRPr="001260F6">
              <w:t>E.Buša</w:t>
            </w:r>
            <w:proofErr w:type="spellEnd"/>
          </w:p>
          <w:p w:rsidR="001260F6" w:rsidRPr="001260F6" w:rsidRDefault="001260F6" w:rsidP="001260F6">
            <w:pPr>
              <w:tabs>
                <w:tab w:val="center" w:pos="2142"/>
              </w:tabs>
              <w:ind w:right="-1"/>
              <w:jc w:val="left"/>
            </w:pPr>
          </w:p>
          <w:p w:rsidR="001260F6" w:rsidRPr="001260F6" w:rsidRDefault="001260F6" w:rsidP="001260F6">
            <w:pPr>
              <w:snapToGrid w:val="0"/>
              <w:ind w:hanging="108"/>
              <w:rPr>
                <w:rFonts w:eastAsia="Calibri"/>
                <w:iCs/>
                <w:color w:val="000000"/>
              </w:rPr>
            </w:pPr>
          </w:p>
        </w:tc>
        <w:tc>
          <w:tcPr>
            <w:tcW w:w="4706" w:type="dxa"/>
          </w:tcPr>
          <w:p w:rsidR="001260F6" w:rsidRPr="001260F6" w:rsidRDefault="001260F6" w:rsidP="001260F6">
            <w:pPr>
              <w:snapToGrid w:val="0"/>
              <w:ind w:left="714" w:hanging="357"/>
              <w:jc w:val="left"/>
              <w:rPr>
                <w:rFonts w:eastAsia="Calibri"/>
                <w:iCs/>
              </w:rPr>
            </w:pPr>
          </w:p>
          <w:p w:rsidR="001260F6" w:rsidRPr="001260F6" w:rsidRDefault="001260F6" w:rsidP="001260F6">
            <w:pPr>
              <w:snapToGrid w:val="0"/>
              <w:rPr>
                <w:rFonts w:eastAsia="Calibri"/>
                <w:iCs/>
                <w:color w:val="000000"/>
              </w:rPr>
            </w:pPr>
            <w:r w:rsidRPr="001260F6">
              <w:rPr>
                <w:rFonts w:eastAsia="Calibri"/>
                <w:iCs/>
                <w:color w:val="000000"/>
              </w:rPr>
              <w:t xml:space="preserve">Valdes locekle____________ </w:t>
            </w:r>
            <w:proofErr w:type="spellStart"/>
            <w:r w:rsidRPr="001260F6">
              <w:rPr>
                <w:rFonts w:eastAsia="Calibri"/>
                <w:iCs/>
                <w:color w:val="000000"/>
              </w:rPr>
              <w:t>N.Rešetņaka</w:t>
            </w:r>
            <w:proofErr w:type="spellEnd"/>
          </w:p>
          <w:p w:rsidR="001260F6" w:rsidRPr="001260F6" w:rsidRDefault="001260F6" w:rsidP="001260F6">
            <w:pPr>
              <w:snapToGrid w:val="0"/>
              <w:rPr>
                <w:rFonts w:eastAsia="Calibri"/>
                <w:iCs/>
                <w:color w:val="000000"/>
              </w:rPr>
            </w:pPr>
          </w:p>
          <w:p w:rsidR="001260F6" w:rsidRPr="001260F6" w:rsidRDefault="001260F6" w:rsidP="001260F6">
            <w:pPr>
              <w:snapToGrid w:val="0"/>
              <w:rPr>
                <w:rFonts w:eastAsia="Calibri"/>
                <w:iCs/>
                <w:color w:val="000000"/>
              </w:rPr>
            </w:pPr>
          </w:p>
          <w:p w:rsidR="001260F6" w:rsidRPr="001260F6" w:rsidRDefault="001260F6" w:rsidP="001260F6">
            <w:pPr>
              <w:snapToGrid w:val="0"/>
              <w:rPr>
                <w:rFonts w:eastAsia="Calibri"/>
                <w:iCs/>
              </w:rPr>
            </w:pPr>
            <w:r w:rsidRPr="001260F6">
              <w:rPr>
                <w:rFonts w:eastAsia="Calibri"/>
                <w:iCs/>
                <w:color w:val="000000"/>
              </w:rPr>
              <w:t xml:space="preserve">Valdes loceklis____________ </w:t>
            </w:r>
            <w:proofErr w:type="spellStart"/>
            <w:r w:rsidRPr="001260F6">
              <w:rPr>
                <w:rFonts w:eastAsia="Calibri"/>
                <w:iCs/>
                <w:color w:val="000000"/>
              </w:rPr>
              <w:t>A.Boroduļins</w:t>
            </w:r>
            <w:proofErr w:type="spellEnd"/>
          </w:p>
        </w:tc>
      </w:tr>
    </w:tbl>
    <w:p w:rsidR="001260F6" w:rsidRDefault="001260F6"/>
    <w:p w:rsidR="001260F6" w:rsidRDefault="001260F6">
      <w:pPr>
        <w:spacing w:after="160" w:line="259" w:lineRule="auto"/>
        <w:jc w:val="left"/>
      </w:pPr>
      <w:r>
        <w:br w:type="page"/>
      </w:r>
    </w:p>
    <w:p w:rsidR="001260F6" w:rsidRDefault="001260F6">
      <w:pPr>
        <w:sectPr w:rsidR="001260F6">
          <w:footerReference w:type="default" r:id="rId7"/>
          <w:pgSz w:w="11906" w:h="16838"/>
          <w:pgMar w:top="1440" w:right="1800" w:bottom="1440" w:left="1800" w:header="708" w:footer="708" w:gutter="0"/>
          <w:cols w:space="708"/>
          <w:docGrid w:linePitch="360"/>
        </w:sectPr>
      </w:pPr>
    </w:p>
    <w:p w:rsidR="00CA40C2" w:rsidRDefault="001260F6" w:rsidP="001260F6">
      <w:pPr>
        <w:jc w:val="right"/>
      </w:pPr>
      <w:r>
        <w:lastRenderedPageBreak/>
        <w:t xml:space="preserve">1.pielikums </w:t>
      </w:r>
    </w:p>
    <w:tbl>
      <w:tblPr>
        <w:tblW w:w="12191" w:type="dxa"/>
        <w:tblLook w:val="04A0" w:firstRow="1" w:lastRow="0" w:firstColumn="1" w:lastColumn="0" w:noHBand="0" w:noVBand="1"/>
      </w:tblPr>
      <w:tblGrid>
        <w:gridCol w:w="1060"/>
        <w:gridCol w:w="7540"/>
        <w:gridCol w:w="2140"/>
        <w:gridCol w:w="1451"/>
      </w:tblGrid>
      <w:tr w:rsidR="001260F6" w:rsidRPr="001260F6" w:rsidTr="001260F6">
        <w:trPr>
          <w:trHeight w:val="300"/>
        </w:trPr>
        <w:tc>
          <w:tcPr>
            <w:tcW w:w="1060" w:type="dxa"/>
            <w:tcBorders>
              <w:top w:val="nil"/>
              <w:left w:val="nil"/>
              <w:bottom w:val="nil"/>
              <w:right w:val="nil"/>
            </w:tcBorders>
            <w:shd w:val="clear" w:color="auto" w:fill="auto"/>
            <w:noWrap/>
            <w:vAlign w:val="bottom"/>
            <w:hideMark/>
          </w:tcPr>
          <w:p w:rsidR="001260F6" w:rsidRPr="001260F6" w:rsidRDefault="001260F6" w:rsidP="001260F6">
            <w:pPr>
              <w:jc w:val="left"/>
              <w:rPr>
                <w:sz w:val="20"/>
                <w:szCs w:val="20"/>
                <w:lang w:eastAsia="lv-LV"/>
              </w:rPr>
            </w:pPr>
          </w:p>
        </w:tc>
        <w:tc>
          <w:tcPr>
            <w:tcW w:w="11131" w:type="dxa"/>
            <w:gridSpan w:val="3"/>
            <w:tcBorders>
              <w:top w:val="nil"/>
              <w:left w:val="nil"/>
              <w:bottom w:val="nil"/>
              <w:right w:val="nil"/>
            </w:tcBorders>
            <w:shd w:val="clear" w:color="auto" w:fill="auto"/>
            <w:noWrap/>
            <w:vAlign w:val="bottom"/>
            <w:hideMark/>
          </w:tcPr>
          <w:p w:rsidR="001260F6" w:rsidRPr="001260F6" w:rsidRDefault="001260F6" w:rsidP="001260F6">
            <w:pPr>
              <w:jc w:val="right"/>
              <w:rPr>
                <w:color w:val="000000"/>
                <w:sz w:val="22"/>
                <w:szCs w:val="22"/>
                <w:lang w:eastAsia="lv-LV"/>
              </w:rPr>
            </w:pPr>
            <w:r w:rsidRPr="001260F6">
              <w:rPr>
                <w:color w:val="000000"/>
                <w:sz w:val="22"/>
                <w:szCs w:val="22"/>
                <w:lang w:eastAsia="lv-LV"/>
              </w:rPr>
              <w:t xml:space="preserve">VSIA "Paula Stradiņa Klīniskā </w:t>
            </w:r>
            <w:proofErr w:type="spellStart"/>
            <w:r w:rsidRPr="001260F6">
              <w:rPr>
                <w:color w:val="000000"/>
                <w:sz w:val="22"/>
                <w:szCs w:val="22"/>
                <w:lang w:eastAsia="lv-LV"/>
              </w:rPr>
              <w:t>universitāes</w:t>
            </w:r>
            <w:proofErr w:type="spellEnd"/>
            <w:r w:rsidRPr="001260F6">
              <w:rPr>
                <w:color w:val="000000"/>
                <w:sz w:val="22"/>
                <w:szCs w:val="22"/>
                <w:lang w:eastAsia="lv-LV"/>
              </w:rPr>
              <w:t xml:space="preserve"> slimnīca"</w:t>
            </w:r>
          </w:p>
        </w:tc>
      </w:tr>
      <w:tr w:rsidR="001260F6" w:rsidRPr="001260F6" w:rsidTr="001260F6">
        <w:trPr>
          <w:trHeight w:val="300"/>
        </w:trPr>
        <w:tc>
          <w:tcPr>
            <w:tcW w:w="1060" w:type="dxa"/>
            <w:tcBorders>
              <w:top w:val="nil"/>
              <w:left w:val="nil"/>
              <w:bottom w:val="nil"/>
              <w:right w:val="nil"/>
            </w:tcBorders>
            <w:shd w:val="clear" w:color="auto" w:fill="auto"/>
            <w:noWrap/>
            <w:vAlign w:val="bottom"/>
            <w:hideMark/>
          </w:tcPr>
          <w:p w:rsidR="001260F6" w:rsidRPr="001260F6" w:rsidRDefault="001260F6" w:rsidP="001260F6">
            <w:pPr>
              <w:jc w:val="right"/>
              <w:rPr>
                <w:color w:val="000000"/>
                <w:sz w:val="22"/>
                <w:szCs w:val="22"/>
                <w:lang w:eastAsia="lv-LV"/>
              </w:rPr>
            </w:pPr>
          </w:p>
        </w:tc>
        <w:tc>
          <w:tcPr>
            <w:tcW w:w="7540" w:type="dxa"/>
            <w:tcBorders>
              <w:top w:val="nil"/>
              <w:left w:val="nil"/>
              <w:bottom w:val="nil"/>
              <w:right w:val="nil"/>
            </w:tcBorders>
            <w:shd w:val="clear" w:color="auto" w:fill="auto"/>
            <w:noWrap/>
            <w:vAlign w:val="bottom"/>
            <w:hideMark/>
          </w:tcPr>
          <w:p w:rsidR="001260F6" w:rsidRPr="001260F6" w:rsidRDefault="001260F6" w:rsidP="001260F6">
            <w:pPr>
              <w:jc w:val="left"/>
              <w:rPr>
                <w:sz w:val="20"/>
                <w:szCs w:val="20"/>
                <w:lang w:eastAsia="lv-LV"/>
              </w:rPr>
            </w:pPr>
          </w:p>
        </w:tc>
        <w:tc>
          <w:tcPr>
            <w:tcW w:w="2140" w:type="dxa"/>
            <w:tcBorders>
              <w:top w:val="nil"/>
              <w:left w:val="nil"/>
              <w:bottom w:val="nil"/>
              <w:right w:val="nil"/>
            </w:tcBorders>
            <w:shd w:val="clear" w:color="auto" w:fill="auto"/>
            <w:noWrap/>
            <w:vAlign w:val="bottom"/>
            <w:hideMark/>
          </w:tcPr>
          <w:p w:rsidR="001260F6" w:rsidRPr="001260F6" w:rsidRDefault="001260F6" w:rsidP="001260F6">
            <w:pPr>
              <w:jc w:val="right"/>
              <w:rPr>
                <w:sz w:val="20"/>
                <w:szCs w:val="20"/>
                <w:lang w:eastAsia="lv-LV"/>
              </w:rPr>
            </w:pPr>
          </w:p>
        </w:tc>
        <w:tc>
          <w:tcPr>
            <w:tcW w:w="1451" w:type="dxa"/>
            <w:tcBorders>
              <w:top w:val="nil"/>
              <w:left w:val="nil"/>
              <w:bottom w:val="nil"/>
              <w:right w:val="nil"/>
            </w:tcBorders>
            <w:shd w:val="clear" w:color="auto" w:fill="auto"/>
            <w:noWrap/>
            <w:vAlign w:val="bottom"/>
            <w:hideMark/>
          </w:tcPr>
          <w:p w:rsidR="001260F6" w:rsidRPr="001260F6" w:rsidRDefault="001260F6" w:rsidP="001260F6">
            <w:pPr>
              <w:jc w:val="right"/>
              <w:rPr>
                <w:sz w:val="20"/>
                <w:szCs w:val="20"/>
                <w:lang w:eastAsia="lv-LV"/>
              </w:rPr>
            </w:pPr>
          </w:p>
        </w:tc>
      </w:tr>
      <w:tr w:rsidR="001260F6" w:rsidRPr="001260F6" w:rsidTr="001260F6">
        <w:trPr>
          <w:trHeight w:val="375"/>
        </w:trPr>
        <w:tc>
          <w:tcPr>
            <w:tcW w:w="12191" w:type="dxa"/>
            <w:gridSpan w:val="4"/>
            <w:tcBorders>
              <w:top w:val="nil"/>
              <w:left w:val="nil"/>
              <w:bottom w:val="nil"/>
              <w:right w:val="nil"/>
            </w:tcBorders>
            <w:shd w:val="clear" w:color="auto" w:fill="auto"/>
            <w:noWrap/>
            <w:vAlign w:val="bottom"/>
            <w:hideMark/>
          </w:tcPr>
          <w:p w:rsidR="001260F6" w:rsidRPr="001260F6" w:rsidRDefault="001260F6" w:rsidP="001260F6">
            <w:pPr>
              <w:jc w:val="center"/>
              <w:rPr>
                <w:b/>
                <w:bCs/>
                <w:sz w:val="28"/>
                <w:szCs w:val="28"/>
                <w:lang w:eastAsia="lv-LV"/>
              </w:rPr>
            </w:pPr>
            <w:r w:rsidRPr="001260F6">
              <w:rPr>
                <w:b/>
                <w:bCs/>
                <w:sz w:val="28"/>
                <w:szCs w:val="28"/>
                <w:lang w:eastAsia="lv-LV"/>
              </w:rPr>
              <w:t>Nukleārās medicīnas produktu iegāde</w:t>
            </w:r>
          </w:p>
        </w:tc>
      </w:tr>
      <w:tr w:rsidR="001260F6" w:rsidRPr="001260F6" w:rsidTr="001260F6">
        <w:trPr>
          <w:trHeight w:val="300"/>
        </w:trPr>
        <w:tc>
          <w:tcPr>
            <w:tcW w:w="12191" w:type="dxa"/>
            <w:gridSpan w:val="4"/>
            <w:tcBorders>
              <w:top w:val="nil"/>
              <w:left w:val="nil"/>
              <w:bottom w:val="nil"/>
              <w:right w:val="nil"/>
            </w:tcBorders>
            <w:shd w:val="clear" w:color="auto" w:fill="auto"/>
            <w:noWrap/>
            <w:vAlign w:val="bottom"/>
            <w:hideMark/>
          </w:tcPr>
          <w:p w:rsidR="001260F6" w:rsidRPr="001260F6" w:rsidRDefault="001260F6" w:rsidP="001260F6">
            <w:pPr>
              <w:jc w:val="center"/>
              <w:rPr>
                <w:rFonts w:ascii="Calibri" w:hAnsi="Calibri"/>
                <w:b/>
                <w:bCs/>
                <w:i/>
                <w:iCs/>
                <w:color w:val="000000"/>
                <w:sz w:val="22"/>
                <w:szCs w:val="22"/>
                <w:lang w:eastAsia="lv-LV"/>
              </w:rPr>
            </w:pPr>
            <w:r w:rsidRPr="001260F6">
              <w:rPr>
                <w:rFonts w:ascii="Calibri" w:hAnsi="Calibri"/>
                <w:b/>
                <w:bCs/>
                <w:i/>
                <w:iCs/>
                <w:color w:val="000000"/>
                <w:sz w:val="22"/>
                <w:szCs w:val="22"/>
                <w:lang w:eastAsia="lv-LV"/>
              </w:rPr>
              <w:t>Tehniskā un finanšu piedāvājuma forma</w:t>
            </w:r>
          </w:p>
        </w:tc>
      </w:tr>
      <w:tr w:rsidR="001260F6" w:rsidRPr="001260F6" w:rsidTr="001260F6">
        <w:trPr>
          <w:trHeight w:val="300"/>
        </w:trPr>
        <w:tc>
          <w:tcPr>
            <w:tcW w:w="1060" w:type="dxa"/>
            <w:tcBorders>
              <w:top w:val="nil"/>
              <w:left w:val="nil"/>
              <w:bottom w:val="nil"/>
              <w:right w:val="nil"/>
            </w:tcBorders>
            <w:shd w:val="clear" w:color="auto" w:fill="auto"/>
            <w:noWrap/>
            <w:vAlign w:val="bottom"/>
            <w:hideMark/>
          </w:tcPr>
          <w:p w:rsidR="001260F6" w:rsidRPr="001260F6" w:rsidRDefault="001260F6" w:rsidP="001260F6">
            <w:pPr>
              <w:jc w:val="center"/>
              <w:rPr>
                <w:rFonts w:ascii="Calibri" w:hAnsi="Calibri"/>
                <w:b/>
                <w:bCs/>
                <w:i/>
                <w:iCs/>
                <w:color w:val="000000"/>
                <w:sz w:val="22"/>
                <w:szCs w:val="22"/>
                <w:lang w:eastAsia="lv-LV"/>
              </w:rPr>
            </w:pPr>
          </w:p>
        </w:tc>
        <w:tc>
          <w:tcPr>
            <w:tcW w:w="7540" w:type="dxa"/>
            <w:tcBorders>
              <w:top w:val="nil"/>
              <w:left w:val="nil"/>
              <w:bottom w:val="nil"/>
              <w:right w:val="nil"/>
            </w:tcBorders>
            <w:shd w:val="clear" w:color="auto" w:fill="auto"/>
            <w:noWrap/>
            <w:vAlign w:val="bottom"/>
            <w:hideMark/>
          </w:tcPr>
          <w:p w:rsidR="001260F6" w:rsidRPr="001260F6" w:rsidRDefault="001260F6" w:rsidP="001260F6">
            <w:pPr>
              <w:jc w:val="left"/>
              <w:rPr>
                <w:sz w:val="20"/>
                <w:szCs w:val="20"/>
                <w:lang w:eastAsia="lv-LV"/>
              </w:rPr>
            </w:pPr>
          </w:p>
        </w:tc>
        <w:tc>
          <w:tcPr>
            <w:tcW w:w="2140" w:type="dxa"/>
            <w:tcBorders>
              <w:top w:val="nil"/>
              <w:left w:val="nil"/>
              <w:bottom w:val="nil"/>
              <w:right w:val="nil"/>
            </w:tcBorders>
            <w:shd w:val="clear" w:color="auto" w:fill="auto"/>
            <w:noWrap/>
            <w:vAlign w:val="bottom"/>
            <w:hideMark/>
          </w:tcPr>
          <w:p w:rsidR="001260F6" w:rsidRPr="001260F6" w:rsidRDefault="001260F6" w:rsidP="001260F6">
            <w:pPr>
              <w:jc w:val="left"/>
              <w:rPr>
                <w:sz w:val="20"/>
                <w:szCs w:val="20"/>
                <w:lang w:eastAsia="lv-LV"/>
              </w:rPr>
            </w:pPr>
          </w:p>
        </w:tc>
        <w:tc>
          <w:tcPr>
            <w:tcW w:w="1451" w:type="dxa"/>
            <w:tcBorders>
              <w:top w:val="nil"/>
              <w:left w:val="nil"/>
              <w:bottom w:val="nil"/>
              <w:right w:val="nil"/>
            </w:tcBorders>
            <w:shd w:val="clear" w:color="auto" w:fill="auto"/>
            <w:noWrap/>
            <w:vAlign w:val="bottom"/>
            <w:hideMark/>
          </w:tcPr>
          <w:p w:rsidR="001260F6" w:rsidRPr="001260F6" w:rsidRDefault="001260F6" w:rsidP="001260F6">
            <w:pPr>
              <w:jc w:val="left"/>
              <w:rPr>
                <w:sz w:val="20"/>
                <w:szCs w:val="20"/>
                <w:lang w:eastAsia="lv-LV"/>
              </w:rPr>
            </w:pPr>
          </w:p>
        </w:tc>
      </w:tr>
      <w:tr w:rsidR="001260F6" w:rsidRPr="001260F6" w:rsidTr="001260F6">
        <w:trPr>
          <w:trHeight w:val="855"/>
        </w:trPr>
        <w:tc>
          <w:tcPr>
            <w:tcW w:w="8600"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1260F6" w:rsidRPr="001260F6" w:rsidRDefault="001260F6" w:rsidP="001260F6">
            <w:pPr>
              <w:jc w:val="center"/>
              <w:rPr>
                <w:b/>
                <w:bCs/>
                <w:sz w:val="22"/>
                <w:szCs w:val="22"/>
                <w:lang w:eastAsia="lv-LV"/>
              </w:rPr>
            </w:pPr>
            <w:r w:rsidRPr="001260F6">
              <w:rPr>
                <w:b/>
                <w:bCs/>
                <w:sz w:val="22"/>
                <w:szCs w:val="22"/>
                <w:lang w:eastAsia="lv-LV"/>
              </w:rPr>
              <w:t>Prasības</w:t>
            </w:r>
          </w:p>
        </w:tc>
        <w:tc>
          <w:tcPr>
            <w:tcW w:w="2140" w:type="dxa"/>
            <w:tcBorders>
              <w:top w:val="single" w:sz="4" w:space="0" w:color="auto"/>
              <w:left w:val="nil"/>
              <w:bottom w:val="nil"/>
              <w:right w:val="single" w:sz="4" w:space="0" w:color="auto"/>
            </w:tcBorders>
            <w:shd w:val="clear" w:color="000000" w:fill="92D050"/>
            <w:vAlign w:val="center"/>
            <w:hideMark/>
          </w:tcPr>
          <w:p w:rsidR="001260F6" w:rsidRPr="001260F6" w:rsidRDefault="001260F6" w:rsidP="001260F6">
            <w:pPr>
              <w:jc w:val="center"/>
              <w:rPr>
                <w:b/>
                <w:bCs/>
                <w:sz w:val="22"/>
                <w:szCs w:val="22"/>
                <w:lang w:eastAsia="lv-LV"/>
              </w:rPr>
            </w:pPr>
            <w:r w:rsidRPr="001260F6">
              <w:rPr>
                <w:b/>
                <w:bCs/>
                <w:sz w:val="22"/>
                <w:szCs w:val="22"/>
                <w:lang w:eastAsia="lv-LV"/>
              </w:rPr>
              <w:t>Prasību izpilde</w:t>
            </w:r>
          </w:p>
        </w:tc>
        <w:tc>
          <w:tcPr>
            <w:tcW w:w="1451" w:type="dxa"/>
            <w:tcBorders>
              <w:top w:val="single" w:sz="4" w:space="0" w:color="auto"/>
              <w:left w:val="nil"/>
              <w:bottom w:val="single" w:sz="4" w:space="0" w:color="auto"/>
              <w:right w:val="single" w:sz="4" w:space="0" w:color="auto"/>
            </w:tcBorders>
            <w:shd w:val="clear" w:color="000000" w:fill="92D050"/>
            <w:vAlign w:val="center"/>
            <w:hideMark/>
          </w:tcPr>
          <w:p w:rsidR="001260F6" w:rsidRPr="001260F6" w:rsidRDefault="001260F6" w:rsidP="001260F6">
            <w:pPr>
              <w:jc w:val="center"/>
              <w:rPr>
                <w:b/>
                <w:bCs/>
                <w:sz w:val="22"/>
                <w:szCs w:val="22"/>
                <w:lang w:eastAsia="lv-LV"/>
              </w:rPr>
            </w:pPr>
            <w:r w:rsidRPr="001260F6">
              <w:rPr>
                <w:b/>
                <w:bCs/>
                <w:sz w:val="22"/>
                <w:szCs w:val="22"/>
                <w:lang w:eastAsia="lv-LV"/>
              </w:rPr>
              <w:t xml:space="preserve">Datu lapas </w:t>
            </w:r>
            <w:proofErr w:type="spellStart"/>
            <w:r w:rsidRPr="001260F6">
              <w:rPr>
                <w:b/>
                <w:bCs/>
                <w:sz w:val="22"/>
                <w:szCs w:val="22"/>
                <w:lang w:eastAsia="lv-LV"/>
              </w:rPr>
              <w:t>lpp</w:t>
            </w:r>
            <w:proofErr w:type="spellEnd"/>
            <w:r w:rsidRPr="001260F6">
              <w:rPr>
                <w:b/>
                <w:bCs/>
                <w:sz w:val="22"/>
                <w:szCs w:val="22"/>
                <w:lang w:eastAsia="lv-LV"/>
              </w:rPr>
              <w:t>, kurā tā fiksēta</w:t>
            </w:r>
          </w:p>
        </w:tc>
      </w:tr>
      <w:tr w:rsidR="001260F6" w:rsidRPr="001260F6" w:rsidTr="001260F6">
        <w:trPr>
          <w:trHeight w:val="435"/>
        </w:trPr>
        <w:tc>
          <w:tcPr>
            <w:tcW w:w="1060" w:type="dxa"/>
            <w:tcBorders>
              <w:top w:val="nil"/>
              <w:left w:val="single" w:sz="4" w:space="0" w:color="auto"/>
              <w:bottom w:val="single" w:sz="4" w:space="0" w:color="auto"/>
              <w:right w:val="single" w:sz="4" w:space="0" w:color="auto"/>
            </w:tcBorders>
            <w:shd w:val="clear" w:color="000000" w:fill="92D050"/>
            <w:noWrap/>
            <w:vAlign w:val="bottom"/>
            <w:hideMark/>
          </w:tcPr>
          <w:p w:rsidR="001260F6" w:rsidRPr="001260F6" w:rsidRDefault="001260F6" w:rsidP="001260F6">
            <w:pPr>
              <w:jc w:val="center"/>
              <w:rPr>
                <w:b/>
                <w:bCs/>
                <w:i/>
                <w:iCs/>
                <w:color w:val="000000"/>
                <w:sz w:val="22"/>
                <w:szCs w:val="22"/>
                <w:lang w:eastAsia="lv-LV"/>
              </w:rPr>
            </w:pPr>
            <w:r w:rsidRPr="001260F6">
              <w:rPr>
                <w:b/>
                <w:bCs/>
                <w:i/>
                <w:iCs/>
                <w:color w:val="000000"/>
                <w:sz w:val="22"/>
                <w:szCs w:val="22"/>
                <w:lang w:eastAsia="lv-LV"/>
              </w:rPr>
              <w:t>1.</w:t>
            </w:r>
          </w:p>
        </w:tc>
        <w:tc>
          <w:tcPr>
            <w:tcW w:w="7540" w:type="dxa"/>
            <w:tcBorders>
              <w:top w:val="nil"/>
              <w:left w:val="nil"/>
              <w:bottom w:val="single" w:sz="4" w:space="0" w:color="auto"/>
              <w:right w:val="single" w:sz="4" w:space="0" w:color="auto"/>
            </w:tcBorders>
            <w:shd w:val="clear" w:color="000000" w:fill="92D050"/>
            <w:noWrap/>
            <w:vAlign w:val="bottom"/>
            <w:hideMark/>
          </w:tcPr>
          <w:p w:rsidR="001260F6" w:rsidRPr="001260F6" w:rsidRDefault="001260F6" w:rsidP="001260F6">
            <w:pPr>
              <w:jc w:val="left"/>
              <w:rPr>
                <w:b/>
                <w:bCs/>
                <w:sz w:val="28"/>
                <w:szCs w:val="28"/>
                <w:lang w:eastAsia="lv-LV"/>
              </w:rPr>
            </w:pPr>
            <w:r w:rsidRPr="001260F6">
              <w:rPr>
                <w:b/>
                <w:bCs/>
                <w:sz w:val="28"/>
                <w:szCs w:val="28"/>
                <w:lang w:eastAsia="lv-LV"/>
              </w:rPr>
              <w:t xml:space="preserve"> </w:t>
            </w:r>
            <w:r w:rsidRPr="001260F6">
              <w:rPr>
                <w:b/>
                <w:bCs/>
                <w:sz w:val="28"/>
                <w:szCs w:val="28"/>
                <w:vertAlign w:val="superscript"/>
                <w:lang w:eastAsia="lv-LV"/>
              </w:rPr>
              <w:t>99</w:t>
            </w:r>
            <w:r w:rsidRPr="001260F6">
              <w:rPr>
                <w:b/>
                <w:bCs/>
                <w:sz w:val="28"/>
                <w:szCs w:val="28"/>
                <w:lang w:eastAsia="lv-LV"/>
              </w:rPr>
              <w:t>Mo-</w:t>
            </w:r>
            <w:r w:rsidRPr="001260F6">
              <w:rPr>
                <w:b/>
                <w:bCs/>
                <w:sz w:val="28"/>
                <w:szCs w:val="28"/>
                <w:vertAlign w:val="superscript"/>
                <w:lang w:eastAsia="lv-LV"/>
              </w:rPr>
              <w:t>99m</w:t>
            </w:r>
            <w:r w:rsidRPr="001260F6">
              <w:rPr>
                <w:b/>
                <w:bCs/>
                <w:sz w:val="28"/>
                <w:szCs w:val="28"/>
                <w:lang w:eastAsia="lv-LV"/>
              </w:rPr>
              <w:t>Tc ģenerators</w:t>
            </w:r>
          </w:p>
        </w:tc>
        <w:tc>
          <w:tcPr>
            <w:tcW w:w="3591"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1260F6" w:rsidRPr="001260F6" w:rsidRDefault="001260F6" w:rsidP="001260F6">
            <w:pPr>
              <w:jc w:val="center"/>
              <w:rPr>
                <w:b/>
                <w:bCs/>
                <w:sz w:val="28"/>
                <w:szCs w:val="28"/>
                <w:lang w:eastAsia="lv-LV"/>
              </w:rPr>
            </w:pPr>
            <w:r w:rsidRPr="001260F6">
              <w:rPr>
                <w:b/>
                <w:bCs/>
                <w:sz w:val="28"/>
                <w:szCs w:val="28"/>
                <w:lang w:eastAsia="lv-LV"/>
              </w:rPr>
              <w:t> </w:t>
            </w:r>
          </w:p>
        </w:tc>
      </w:tr>
      <w:tr w:rsidR="001260F6" w:rsidRPr="001260F6" w:rsidTr="001260F6">
        <w:trPr>
          <w:trHeight w:val="315"/>
        </w:trPr>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1260F6" w:rsidRPr="001260F6" w:rsidRDefault="001260F6" w:rsidP="001260F6">
            <w:pPr>
              <w:jc w:val="center"/>
              <w:rPr>
                <w:b/>
                <w:bCs/>
                <w:i/>
                <w:iCs/>
                <w:color w:val="000000"/>
                <w:sz w:val="22"/>
                <w:szCs w:val="22"/>
                <w:lang w:eastAsia="lv-LV"/>
              </w:rPr>
            </w:pPr>
            <w:r w:rsidRPr="001260F6">
              <w:rPr>
                <w:b/>
                <w:bCs/>
                <w:i/>
                <w:iCs/>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Daudzums (</w:t>
            </w:r>
            <w:proofErr w:type="spellStart"/>
            <w:r w:rsidRPr="001260F6">
              <w:rPr>
                <w:sz w:val="22"/>
                <w:szCs w:val="22"/>
                <w:lang w:eastAsia="lv-LV"/>
              </w:rPr>
              <w:t>gab</w:t>
            </w:r>
            <w:proofErr w:type="spellEnd"/>
            <w:r w:rsidRPr="001260F6">
              <w:rPr>
                <w:sz w:val="22"/>
                <w:szCs w:val="22"/>
                <w:lang w:eastAsia="lv-LV"/>
              </w:rPr>
              <w:t>)</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b/>
                <w:bCs/>
                <w:sz w:val="22"/>
                <w:szCs w:val="22"/>
                <w:lang w:eastAsia="lv-LV"/>
              </w:rPr>
            </w:pPr>
            <w:r w:rsidRPr="001260F6">
              <w:rPr>
                <w:b/>
                <w:bCs/>
                <w:sz w:val="22"/>
                <w:szCs w:val="22"/>
                <w:lang w:eastAsia="lv-LV"/>
              </w:rPr>
              <w:t>150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Preces ražotājs (valsts):</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sz w:val="22"/>
                <w:szCs w:val="22"/>
                <w:lang w:eastAsia="lv-LV"/>
              </w:rPr>
            </w:pPr>
            <w:r w:rsidRPr="001260F6">
              <w:rPr>
                <w:sz w:val="22"/>
                <w:szCs w:val="22"/>
                <w:lang w:eastAsia="lv-LV"/>
              </w:rPr>
              <w:t>Anglija</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 xml:space="preserve">Preces modelis: </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rFonts w:ascii="Calibri" w:hAnsi="Calibri"/>
                <w:b/>
                <w:bCs/>
                <w:color w:val="000000"/>
                <w:sz w:val="22"/>
                <w:szCs w:val="22"/>
                <w:lang w:eastAsia="lv-LV"/>
              </w:rPr>
            </w:pPr>
            <w:r w:rsidRPr="001260F6">
              <w:rPr>
                <w:rFonts w:ascii="Calibri" w:hAnsi="Calibri"/>
                <w:b/>
                <w:bCs/>
                <w:color w:val="000000"/>
                <w:sz w:val="22"/>
                <w:szCs w:val="22"/>
                <w:lang w:eastAsia="lv-LV"/>
              </w:rPr>
              <w:t>DRYTEC</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Aviotransporta izmaksas</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241.50</w:t>
            </w:r>
          </w:p>
        </w:tc>
      </w:tr>
      <w:tr w:rsidR="001260F6" w:rsidRPr="001260F6" w:rsidTr="001260F6">
        <w:trPr>
          <w:trHeight w:val="300"/>
        </w:trPr>
        <w:tc>
          <w:tcPr>
            <w:tcW w:w="8600" w:type="dxa"/>
            <w:gridSpan w:val="2"/>
            <w:tcBorders>
              <w:top w:val="single" w:sz="4" w:space="0" w:color="auto"/>
              <w:left w:val="single" w:sz="4" w:space="0" w:color="auto"/>
              <w:bottom w:val="single" w:sz="4" w:space="0" w:color="auto"/>
              <w:right w:val="single" w:sz="4" w:space="0" w:color="auto"/>
            </w:tcBorders>
            <w:shd w:val="clear" w:color="000000" w:fill="CCFF66"/>
            <w:vAlign w:val="center"/>
            <w:hideMark/>
          </w:tcPr>
          <w:p w:rsidR="001260F6" w:rsidRPr="001260F6" w:rsidRDefault="001260F6" w:rsidP="001260F6">
            <w:pPr>
              <w:jc w:val="right"/>
              <w:rPr>
                <w:b/>
                <w:bCs/>
                <w:sz w:val="22"/>
                <w:szCs w:val="22"/>
                <w:lang w:eastAsia="lv-LV"/>
              </w:rPr>
            </w:pPr>
            <w:r w:rsidRPr="001260F6">
              <w:rPr>
                <w:b/>
                <w:bCs/>
                <w:sz w:val="22"/>
                <w:szCs w:val="22"/>
                <w:lang w:eastAsia="lv-LV"/>
              </w:rPr>
              <w:t>1 vienības cena ar aviotransporta izmaksām bez PVN, EUR:</w:t>
            </w:r>
          </w:p>
        </w:tc>
        <w:tc>
          <w:tcPr>
            <w:tcW w:w="3591" w:type="dxa"/>
            <w:gridSpan w:val="2"/>
            <w:tcBorders>
              <w:top w:val="single" w:sz="4" w:space="0" w:color="auto"/>
              <w:left w:val="nil"/>
              <w:bottom w:val="single" w:sz="4" w:space="0" w:color="auto"/>
              <w:right w:val="single" w:sz="4" w:space="0" w:color="000000"/>
            </w:tcBorders>
            <w:shd w:val="clear" w:color="000000" w:fill="CCFF66"/>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1449.00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Kopā bez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b/>
                <w:bCs/>
                <w:color w:val="000000"/>
                <w:sz w:val="22"/>
                <w:szCs w:val="22"/>
                <w:lang w:eastAsia="lv-LV"/>
              </w:rPr>
            </w:pPr>
            <w:r w:rsidRPr="001260F6">
              <w:rPr>
                <w:rFonts w:ascii="Calibri" w:hAnsi="Calibri"/>
                <w:b/>
                <w:bCs/>
                <w:color w:val="000000"/>
                <w:sz w:val="22"/>
                <w:szCs w:val="22"/>
                <w:lang w:eastAsia="lv-LV"/>
              </w:rPr>
              <w:t>217350.00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PVN likme,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26082.00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color w:val="000000"/>
                <w:sz w:val="22"/>
                <w:szCs w:val="22"/>
                <w:lang w:eastAsia="lv-LV"/>
              </w:rPr>
            </w:pPr>
            <w:r w:rsidRPr="001260F6">
              <w:rPr>
                <w:color w:val="000000"/>
                <w:sz w:val="22"/>
                <w:szCs w:val="22"/>
                <w:lang w:eastAsia="lv-LV"/>
              </w:rPr>
              <w:t>Kopā ar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243432.00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000000" w:fill="CCFF66"/>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t>1.1.</w:t>
            </w:r>
          </w:p>
        </w:tc>
        <w:tc>
          <w:tcPr>
            <w:tcW w:w="7540" w:type="dxa"/>
            <w:tcBorders>
              <w:top w:val="nil"/>
              <w:left w:val="nil"/>
              <w:bottom w:val="single" w:sz="4" w:space="0" w:color="auto"/>
              <w:right w:val="single" w:sz="4" w:space="0" w:color="auto"/>
            </w:tcBorders>
            <w:shd w:val="clear" w:color="000000" w:fill="CCFF66"/>
            <w:vAlign w:val="center"/>
            <w:hideMark/>
          </w:tcPr>
          <w:p w:rsidR="001260F6" w:rsidRPr="001260F6" w:rsidRDefault="001260F6" w:rsidP="001260F6">
            <w:pPr>
              <w:jc w:val="left"/>
              <w:rPr>
                <w:b/>
                <w:bCs/>
                <w:i/>
                <w:iCs/>
                <w:color w:val="000000"/>
                <w:sz w:val="22"/>
                <w:szCs w:val="22"/>
                <w:lang w:eastAsia="lv-LV"/>
              </w:rPr>
            </w:pPr>
            <w:r w:rsidRPr="001260F6">
              <w:rPr>
                <w:b/>
                <w:bCs/>
                <w:i/>
                <w:iCs/>
                <w:color w:val="000000"/>
                <w:sz w:val="22"/>
                <w:szCs w:val="22"/>
                <w:lang w:eastAsia="lv-LV"/>
              </w:rPr>
              <w:t>Tehniskās prasības</w:t>
            </w:r>
          </w:p>
        </w:tc>
        <w:tc>
          <w:tcPr>
            <w:tcW w:w="2140" w:type="dxa"/>
            <w:tcBorders>
              <w:top w:val="nil"/>
              <w:left w:val="nil"/>
              <w:bottom w:val="single" w:sz="4" w:space="0" w:color="auto"/>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single" w:sz="4" w:space="0" w:color="auto"/>
              <w:bottom w:val="single" w:sz="4" w:space="0" w:color="auto"/>
              <w:right w:val="single" w:sz="4" w:space="0" w:color="auto"/>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1.1.1</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proofErr w:type="spellStart"/>
            <w:r w:rsidRPr="001260F6">
              <w:rPr>
                <w:color w:val="000000"/>
                <w:sz w:val="22"/>
                <w:szCs w:val="22"/>
                <w:lang w:eastAsia="lv-LV"/>
              </w:rPr>
              <w:t>Eluāta</w:t>
            </w:r>
            <w:proofErr w:type="spellEnd"/>
            <w:r w:rsidRPr="001260F6">
              <w:rPr>
                <w:color w:val="000000"/>
                <w:sz w:val="22"/>
                <w:szCs w:val="22"/>
                <w:lang w:eastAsia="lv-LV"/>
              </w:rPr>
              <w:t xml:space="preserve"> ķīmiskā forma: Nātrija </w:t>
            </w:r>
            <w:proofErr w:type="spellStart"/>
            <w:r w:rsidRPr="001260F6">
              <w:rPr>
                <w:color w:val="000000"/>
                <w:sz w:val="22"/>
                <w:szCs w:val="22"/>
                <w:lang w:eastAsia="lv-LV"/>
              </w:rPr>
              <w:t>pertehnetāts</w:t>
            </w:r>
            <w:proofErr w:type="spellEnd"/>
            <w:r w:rsidRPr="001260F6">
              <w:rPr>
                <w:color w:val="000000"/>
                <w:sz w:val="22"/>
                <w:szCs w:val="22"/>
                <w:lang w:eastAsia="lv-LV"/>
              </w:rPr>
              <w:t xml:space="preserve"> (NaTcO4)</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xml:space="preserve">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6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1.1.2</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proofErr w:type="spellStart"/>
            <w:r w:rsidRPr="001260F6">
              <w:rPr>
                <w:color w:val="000000"/>
                <w:sz w:val="22"/>
                <w:szCs w:val="22"/>
                <w:lang w:eastAsia="lv-LV"/>
              </w:rPr>
              <w:t>Eluāta</w:t>
            </w:r>
            <w:proofErr w:type="spellEnd"/>
            <w:r w:rsidRPr="001260F6">
              <w:rPr>
                <w:color w:val="000000"/>
                <w:sz w:val="22"/>
                <w:szCs w:val="22"/>
                <w:lang w:eastAsia="lv-LV"/>
              </w:rPr>
              <w:t xml:space="preserve"> fizikālās īpašības: Sterils, </w:t>
            </w:r>
            <w:proofErr w:type="spellStart"/>
            <w:r w:rsidRPr="001260F6">
              <w:rPr>
                <w:color w:val="000000"/>
                <w:sz w:val="22"/>
                <w:szCs w:val="22"/>
                <w:lang w:eastAsia="lv-LV"/>
              </w:rPr>
              <w:t>apirogēnisks</w:t>
            </w:r>
            <w:proofErr w:type="spellEnd"/>
            <w:r w:rsidRPr="001260F6">
              <w:rPr>
                <w:color w:val="000000"/>
                <w:sz w:val="22"/>
                <w:szCs w:val="22"/>
                <w:lang w:eastAsia="lv-LV"/>
              </w:rPr>
              <w:t xml:space="preserve">, </w:t>
            </w:r>
            <w:proofErr w:type="spellStart"/>
            <w:r w:rsidRPr="001260F6">
              <w:rPr>
                <w:color w:val="000000"/>
                <w:sz w:val="22"/>
                <w:szCs w:val="22"/>
                <w:lang w:eastAsia="lv-LV"/>
              </w:rPr>
              <w:t>izotonisks</w:t>
            </w:r>
            <w:proofErr w:type="spellEnd"/>
            <w:r w:rsidRPr="001260F6">
              <w:rPr>
                <w:color w:val="000000"/>
                <w:sz w:val="22"/>
                <w:szCs w:val="22"/>
                <w:lang w:eastAsia="lv-LV"/>
              </w:rPr>
              <w:t>, dzidrs, bez daļiņām, uzrādīt ražotāja apliecinājumu</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6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1.1.3</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proofErr w:type="spellStart"/>
            <w:r w:rsidRPr="001260F6">
              <w:rPr>
                <w:color w:val="000000"/>
                <w:sz w:val="22"/>
                <w:szCs w:val="22"/>
                <w:lang w:eastAsia="lv-LV"/>
              </w:rPr>
              <w:t>Eluāta</w:t>
            </w:r>
            <w:proofErr w:type="spellEnd"/>
            <w:r w:rsidRPr="001260F6">
              <w:rPr>
                <w:color w:val="000000"/>
                <w:sz w:val="22"/>
                <w:szCs w:val="22"/>
                <w:lang w:eastAsia="lv-LV"/>
              </w:rPr>
              <w:t xml:space="preserve"> </w:t>
            </w:r>
            <w:proofErr w:type="spellStart"/>
            <w:r w:rsidRPr="001260F6">
              <w:rPr>
                <w:color w:val="000000"/>
                <w:sz w:val="22"/>
                <w:szCs w:val="22"/>
                <w:lang w:eastAsia="lv-LV"/>
              </w:rPr>
              <w:t>ķimiskā</w:t>
            </w:r>
            <w:proofErr w:type="spellEnd"/>
            <w:r w:rsidRPr="001260F6">
              <w:rPr>
                <w:color w:val="000000"/>
                <w:sz w:val="22"/>
                <w:szCs w:val="22"/>
                <w:lang w:eastAsia="lv-LV"/>
              </w:rPr>
              <w:t xml:space="preserve"> tīrība: (NaTcO4 daudzums  </w:t>
            </w:r>
            <w:proofErr w:type="spellStart"/>
            <w:r w:rsidRPr="001260F6">
              <w:rPr>
                <w:color w:val="000000"/>
                <w:sz w:val="22"/>
                <w:szCs w:val="22"/>
                <w:lang w:eastAsia="lv-LV"/>
              </w:rPr>
              <w:t>eluātā</w:t>
            </w:r>
            <w:proofErr w:type="spellEnd"/>
            <w:r w:rsidRPr="001260F6">
              <w:rPr>
                <w:color w:val="000000"/>
                <w:sz w:val="22"/>
                <w:szCs w:val="22"/>
                <w:lang w:eastAsia="lv-LV"/>
              </w:rPr>
              <w:t>)Vismaz 98%, uzrādīt vērtību un ražotāja apliecinājumu</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6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1.1.4</w:t>
            </w:r>
          </w:p>
        </w:tc>
        <w:tc>
          <w:tcPr>
            <w:tcW w:w="7540" w:type="dxa"/>
            <w:tcBorders>
              <w:top w:val="nil"/>
              <w:left w:val="single" w:sz="4" w:space="0" w:color="auto"/>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proofErr w:type="spellStart"/>
            <w:r w:rsidRPr="001260F6">
              <w:rPr>
                <w:color w:val="000000"/>
                <w:sz w:val="22"/>
                <w:szCs w:val="22"/>
                <w:lang w:eastAsia="lv-LV"/>
              </w:rPr>
              <w:t>Eluāta</w:t>
            </w:r>
            <w:proofErr w:type="spellEnd"/>
            <w:r w:rsidRPr="001260F6">
              <w:rPr>
                <w:color w:val="000000"/>
                <w:sz w:val="22"/>
                <w:szCs w:val="22"/>
                <w:lang w:eastAsia="lv-LV"/>
              </w:rPr>
              <w:t xml:space="preserve"> </w:t>
            </w:r>
            <w:proofErr w:type="spellStart"/>
            <w:r w:rsidRPr="001260F6">
              <w:rPr>
                <w:color w:val="000000"/>
                <w:sz w:val="22"/>
                <w:szCs w:val="22"/>
                <w:lang w:eastAsia="lv-LV"/>
              </w:rPr>
              <w:t>izotopiskā</w:t>
            </w:r>
            <w:proofErr w:type="spellEnd"/>
            <w:r w:rsidRPr="001260F6">
              <w:rPr>
                <w:color w:val="000000"/>
                <w:sz w:val="22"/>
                <w:szCs w:val="22"/>
                <w:lang w:eastAsia="lv-LV"/>
              </w:rPr>
              <w:t xml:space="preserve"> tīrība (99Mo piejaukums): Mazāks par 0,1%, uzrādīt vērtību un ražotāja apliecinājumu</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lastRenderedPageBreak/>
              <w:t>1.1.5</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proofErr w:type="spellStart"/>
            <w:r w:rsidRPr="001260F6">
              <w:rPr>
                <w:color w:val="000000"/>
                <w:sz w:val="22"/>
                <w:szCs w:val="22"/>
                <w:lang w:eastAsia="lv-LV"/>
              </w:rPr>
              <w:t>Eluāta</w:t>
            </w:r>
            <w:proofErr w:type="spellEnd"/>
            <w:r w:rsidRPr="001260F6">
              <w:rPr>
                <w:color w:val="000000"/>
                <w:sz w:val="22"/>
                <w:szCs w:val="22"/>
                <w:lang w:eastAsia="lv-LV"/>
              </w:rPr>
              <w:t xml:space="preserve"> </w:t>
            </w:r>
            <w:proofErr w:type="spellStart"/>
            <w:r w:rsidRPr="001260F6">
              <w:rPr>
                <w:color w:val="000000"/>
                <w:sz w:val="22"/>
                <w:szCs w:val="22"/>
                <w:lang w:eastAsia="lv-LV"/>
              </w:rPr>
              <w:t>pH</w:t>
            </w:r>
            <w:proofErr w:type="spellEnd"/>
            <w:r w:rsidRPr="001260F6">
              <w:rPr>
                <w:color w:val="000000"/>
                <w:sz w:val="22"/>
                <w:szCs w:val="22"/>
                <w:lang w:eastAsia="lv-LV"/>
              </w:rPr>
              <w:t xml:space="preserve"> līmenis: 4,5 – 7,5, uzrādīt vērtību un ražotāja apliecinājumu</w:t>
            </w:r>
          </w:p>
        </w:tc>
        <w:tc>
          <w:tcPr>
            <w:tcW w:w="2140" w:type="dxa"/>
            <w:tcBorders>
              <w:top w:val="nil"/>
              <w:left w:val="nil"/>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63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1.1.6</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Ģeneratora aktivitāte kalibrēšanas dienā: 25 </w:t>
            </w:r>
            <w:proofErr w:type="spellStart"/>
            <w:r w:rsidRPr="001260F6">
              <w:rPr>
                <w:color w:val="000000"/>
                <w:sz w:val="22"/>
                <w:szCs w:val="22"/>
                <w:lang w:eastAsia="lv-LV"/>
              </w:rPr>
              <w:t>GBq</w:t>
            </w:r>
            <w:proofErr w:type="spellEnd"/>
            <w:r w:rsidRPr="001260F6">
              <w:rPr>
                <w:color w:val="000000"/>
                <w:sz w:val="22"/>
                <w:szCs w:val="22"/>
                <w:lang w:eastAsia="lv-LV"/>
              </w:rPr>
              <w:t>, ar iespēju nodrošināt arī mazāku aktivitāti, ja to pieprasa pasūtītājs, uzrādīt ražotāja vērtību un ražotāja apliecinājumu</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1.1.7</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Ģeneratora kalibrēšanas diena: Pirmdiena</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6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1.1.8</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Piegāde: Līdz </w:t>
            </w:r>
            <w:proofErr w:type="spellStart"/>
            <w:r w:rsidRPr="001260F6">
              <w:rPr>
                <w:color w:val="000000"/>
                <w:sz w:val="22"/>
                <w:szCs w:val="22"/>
                <w:lang w:eastAsia="lv-LV"/>
              </w:rPr>
              <w:t>eluācijas</w:t>
            </w:r>
            <w:proofErr w:type="spellEnd"/>
            <w:r w:rsidRPr="001260F6">
              <w:rPr>
                <w:color w:val="000000"/>
                <w:sz w:val="22"/>
                <w:szCs w:val="22"/>
                <w:lang w:eastAsia="lv-LV"/>
              </w:rPr>
              <w:t xml:space="preserve"> boksam Diagnostiskās Radioloģijas institūta </w:t>
            </w:r>
            <w:proofErr w:type="spellStart"/>
            <w:r w:rsidRPr="001260F6">
              <w:rPr>
                <w:color w:val="000000"/>
                <w:sz w:val="22"/>
                <w:szCs w:val="22"/>
                <w:lang w:eastAsia="lv-LV"/>
              </w:rPr>
              <w:t>Scintigrāfijas</w:t>
            </w:r>
            <w:proofErr w:type="spellEnd"/>
            <w:r w:rsidRPr="001260F6">
              <w:rPr>
                <w:color w:val="000000"/>
                <w:sz w:val="22"/>
                <w:szCs w:val="22"/>
                <w:lang w:eastAsia="lv-LV"/>
              </w:rPr>
              <w:t xml:space="preserve"> telpās</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1.1.9</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Piegādes biežums: Reizi nedēļā</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1.1.10</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Iespēja izmantot </w:t>
            </w:r>
            <w:proofErr w:type="spellStart"/>
            <w:r w:rsidRPr="001260F6">
              <w:rPr>
                <w:color w:val="000000"/>
                <w:sz w:val="22"/>
                <w:szCs w:val="22"/>
                <w:lang w:eastAsia="lv-LV"/>
              </w:rPr>
              <w:t>eluātu</w:t>
            </w:r>
            <w:proofErr w:type="spellEnd"/>
            <w:r w:rsidRPr="001260F6">
              <w:rPr>
                <w:color w:val="000000"/>
                <w:sz w:val="22"/>
                <w:szCs w:val="22"/>
                <w:lang w:eastAsia="lv-LV"/>
              </w:rPr>
              <w:t xml:space="preserve"> medicīniskiem nolūkiem: Sākot ar pirmdienas rītu</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1.1.11</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Ģeneratora derīguma termiņš: Vismaz 2 nedēļas pēc kalibrēšanas dienas</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600"/>
        </w:trPr>
        <w:tc>
          <w:tcPr>
            <w:tcW w:w="1060" w:type="dxa"/>
            <w:tcBorders>
              <w:top w:val="nil"/>
              <w:left w:val="single" w:sz="4" w:space="0" w:color="auto"/>
              <w:bottom w:val="single" w:sz="4" w:space="0" w:color="auto"/>
              <w:right w:val="nil"/>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1.1.12</w:t>
            </w:r>
          </w:p>
        </w:tc>
        <w:tc>
          <w:tcPr>
            <w:tcW w:w="754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Ģeneratora reģistrācija Latvijas Republikas Zāļu valsts aģentūrā: Uzrādīt ne vēlāk, kā mēnesi pēc iepirkuma līguma noslēgšanas.</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1.1.13</w:t>
            </w:r>
          </w:p>
        </w:tc>
        <w:tc>
          <w:tcPr>
            <w:tcW w:w="75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left"/>
              <w:rPr>
                <w:sz w:val="22"/>
                <w:szCs w:val="22"/>
                <w:lang w:eastAsia="lv-LV"/>
              </w:rPr>
            </w:pPr>
            <w:r w:rsidRPr="001260F6">
              <w:rPr>
                <w:sz w:val="22"/>
                <w:szCs w:val="22"/>
                <w:lang w:eastAsia="lv-LV"/>
              </w:rPr>
              <w:t>Daudzums 150 gab.</w:t>
            </w:r>
          </w:p>
        </w:tc>
        <w:tc>
          <w:tcPr>
            <w:tcW w:w="2140"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75"/>
        </w:trPr>
        <w:tc>
          <w:tcPr>
            <w:tcW w:w="1060" w:type="dxa"/>
            <w:tcBorders>
              <w:top w:val="nil"/>
              <w:left w:val="single" w:sz="4" w:space="0" w:color="auto"/>
              <w:bottom w:val="single" w:sz="4" w:space="0" w:color="auto"/>
              <w:right w:val="single" w:sz="4" w:space="0" w:color="auto"/>
            </w:tcBorders>
            <w:shd w:val="clear" w:color="000000" w:fill="92D050"/>
            <w:hideMark/>
          </w:tcPr>
          <w:p w:rsidR="001260F6" w:rsidRPr="001260F6" w:rsidRDefault="001260F6" w:rsidP="001260F6">
            <w:pPr>
              <w:jc w:val="center"/>
              <w:rPr>
                <w:b/>
                <w:bCs/>
                <w:i/>
                <w:iCs/>
                <w:sz w:val="22"/>
                <w:szCs w:val="22"/>
                <w:lang w:eastAsia="lv-LV"/>
              </w:rPr>
            </w:pPr>
            <w:r w:rsidRPr="001260F6">
              <w:rPr>
                <w:b/>
                <w:bCs/>
                <w:i/>
                <w:iCs/>
                <w:sz w:val="22"/>
                <w:szCs w:val="22"/>
                <w:lang w:eastAsia="lv-LV"/>
              </w:rPr>
              <w:t>2.</w:t>
            </w:r>
          </w:p>
        </w:tc>
        <w:tc>
          <w:tcPr>
            <w:tcW w:w="7540" w:type="dxa"/>
            <w:tcBorders>
              <w:top w:val="nil"/>
              <w:left w:val="nil"/>
              <w:bottom w:val="single" w:sz="4" w:space="0" w:color="auto"/>
              <w:right w:val="single" w:sz="4" w:space="0" w:color="auto"/>
            </w:tcBorders>
            <w:shd w:val="clear" w:color="000000" w:fill="92D050"/>
            <w:noWrap/>
            <w:vAlign w:val="bottom"/>
            <w:hideMark/>
          </w:tcPr>
          <w:p w:rsidR="001260F6" w:rsidRPr="001260F6" w:rsidRDefault="001260F6" w:rsidP="001260F6">
            <w:pPr>
              <w:jc w:val="left"/>
              <w:rPr>
                <w:b/>
                <w:bCs/>
                <w:sz w:val="28"/>
                <w:szCs w:val="28"/>
                <w:lang w:eastAsia="lv-LV"/>
              </w:rPr>
            </w:pPr>
            <w:r w:rsidRPr="001260F6">
              <w:rPr>
                <w:b/>
                <w:bCs/>
                <w:sz w:val="28"/>
                <w:szCs w:val="28"/>
                <w:lang w:eastAsia="lv-LV"/>
              </w:rPr>
              <w:t xml:space="preserve">Radioizotops </w:t>
            </w:r>
            <w:proofErr w:type="spellStart"/>
            <w:r w:rsidRPr="001260F6">
              <w:rPr>
                <w:b/>
                <w:bCs/>
                <w:sz w:val="28"/>
                <w:szCs w:val="28"/>
                <w:lang w:eastAsia="lv-LV"/>
              </w:rPr>
              <w:t>Ioflupane</w:t>
            </w:r>
            <w:proofErr w:type="spellEnd"/>
            <w:r w:rsidRPr="001260F6">
              <w:rPr>
                <w:b/>
                <w:bCs/>
                <w:sz w:val="28"/>
                <w:szCs w:val="28"/>
                <w:lang w:eastAsia="lv-LV"/>
              </w:rPr>
              <w:t xml:space="preserve"> I123 </w:t>
            </w:r>
          </w:p>
        </w:tc>
        <w:tc>
          <w:tcPr>
            <w:tcW w:w="3591"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27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Daudzums (</w:t>
            </w:r>
            <w:proofErr w:type="spellStart"/>
            <w:r w:rsidRPr="001260F6">
              <w:rPr>
                <w:sz w:val="22"/>
                <w:szCs w:val="22"/>
                <w:lang w:eastAsia="lv-LV"/>
              </w:rPr>
              <w:t>gab</w:t>
            </w:r>
            <w:proofErr w:type="spellEnd"/>
            <w:r w:rsidRPr="001260F6">
              <w:rPr>
                <w:sz w:val="22"/>
                <w:szCs w:val="22"/>
                <w:lang w:eastAsia="lv-LV"/>
              </w:rPr>
              <w:t>)</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b/>
                <w:bCs/>
                <w:sz w:val="22"/>
                <w:szCs w:val="22"/>
                <w:lang w:eastAsia="lv-LV"/>
              </w:rPr>
            </w:pPr>
            <w:r w:rsidRPr="001260F6">
              <w:rPr>
                <w:b/>
                <w:bCs/>
                <w:sz w:val="22"/>
                <w:szCs w:val="22"/>
                <w:lang w:eastAsia="lv-LV"/>
              </w:rPr>
              <w:t>30</w:t>
            </w:r>
          </w:p>
        </w:tc>
      </w:tr>
      <w:tr w:rsidR="001260F6" w:rsidRPr="001260F6" w:rsidTr="001260F6">
        <w:trPr>
          <w:trHeight w:val="27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Preces ražotājs (valsts):</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sz w:val="22"/>
                <w:szCs w:val="22"/>
                <w:lang w:eastAsia="lv-LV"/>
              </w:rPr>
            </w:pPr>
            <w:r w:rsidRPr="001260F6">
              <w:rPr>
                <w:sz w:val="22"/>
                <w:szCs w:val="22"/>
                <w:lang w:eastAsia="lv-LV"/>
              </w:rPr>
              <w:t>Nīderlande</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 xml:space="preserve">Preces modelis: </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rFonts w:ascii="Calibri" w:hAnsi="Calibri"/>
                <w:b/>
                <w:bCs/>
                <w:color w:val="000000"/>
                <w:sz w:val="22"/>
                <w:szCs w:val="22"/>
                <w:lang w:eastAsia="lv-LV"/>
              </w:rPr>
            </w:pPr>
            <w:r w:rsidRPr="001260F6">
              <w:rPr>
                <w:rFonts w:ascii="Calibri" w:hAnsi="Calibri"/>
                <w:b/>
                <w:bCs/>
                <w:color w:val="000000"/>
                <w:sz w:val="22"/>
                <w:szCs w:val="22"/>
                <w:lang w:eastAsia="lv-LV"/>
              </w:rPr>
              <w:t>DATSCAN</w:t>
            </w:r>
          </w:p>
        </w:tc>
      </w:tr>
      <w:tr w:rsidR="001260F6" w:rsidRPr="001260F6" w:rsidTr="001260F6">
        <w:trPr>
          <w:trHeight w:val="360"/>
        </w:trPr>
        <w:tc>
          <w:tcPr>
            <w:tcW w:w="1060" w:type="dxa"/>
            <w:tcBorders>
              <w:top w:val="nil"/>
              <w:left w:val="nil"/>
              <w:bottom w:val="nil"/>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single" w:sz="4" w:space="0" w:color="auto"/>
              <w:bottom w:val="single" w:sz="4" w:space="0" w:color="auto"/>
              <w:right w:val="nil"/>
            </w:tcBorders>
            <w:shd w:val="clear" w:color="000000" w:fill="CCFF66"/>
            <w:vAlign w:val="center"/>
            <w:hideMark/>
          </w:tcPr>
          <w:p w:rsidR="001260F6" w:rsidRPr="001260F6" w:rsidRDefault="001260F6" w:rsidP="001260F6">
            <w:pPr>
              <w:jc w:val="right"/>
              <w:rPr>
                <w:b/>
                <w:bCs/>
                <w:sz w:val="22"/>
                <w:szCs w:val="22"/>
                <w:lang w:eastAsia="lv-LV"/>
              </w:rPr>
            </w:pPr>
            <w:r w:rsidRPr="001260F6">
              <w:rPr>
                <w:b/>
                <w:bCs/>
                <w:sz w:val="22"/>
                <w:szCs w:val="22"/>
                <w:lang w:eastAsia="lv-LV"/>
              </w:rPr>
              <w:t>1 vienības cena bez PVN, EUR:</w:t>
            </w:r>
          </w:p>
        </w:tc>
        <w:tc>
          <w:tcPr>
            <w:tcW w:w="3591" w:type="dxa"/>
            <w:gridSpan w:val="2"/>
            <w:tcBorders>
              <w:top w:val="single" w:sz="4" w:space="0" w:color="auto"/>
              <w:left w:val="single" w:sz="4" w:space="0" w:color="auto"/>
              <w:bottom w:val="single" w:sz="4" w:space="0" w:color="auto"/>
              <w:right w:val="single" w:sz="4" w:space="0" w:color="000000"/>
            </w:tcBorders>
            <w:shd w:val="clear" w:color="000000" w:fill="CCFF66"/>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1083.60</w:t>
            </w:r>
          </w:p>
        </w:tc>
      </w:tr>
      <w:tr w:rsidR="001260F6" w:rsidRPr="001260F6" w:rsidTr="001260F6">
        <w:trPr>
          <w:trHeight w:val="36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Kopā bez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b/>
                <w:bCs/>
                <w:color w:val="000000"/>
                <w:sz w:val="22"/>
                <w:szCs w:val="22"/>
                <w:lang w:eastAsia="lv-LV"/>
              </w:rPr>
            </w:pPr>
            <w:r w:rsidRPr="001260F6">
              <w:rPr>
                <w:rFonts w:ascii="Calibri" w:hAnsi="Calibri"/>
                <w:b/>
                <w:bCs/>
                <w:color w:val="000000"/>
                <w:sz w:val="22"/>
                <w:szCs w:val="22"/>
                <w:lang w:eastAsia="lv-LV"/>
              </w:rPr>
              <w:t>32508.00</w:t>
            </w:r>
          </w:p>
        </w:tc>
      </w:tr>
      <w:tr w:rsidR="001260F6" w:rsidRPr="001260F6" w:rsidTr="001260F6">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PVN likme,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3900.96</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color w:val="000000"/>
                <w:sz w:val="22"/>
                <w:szCs w:val="22"/>
                <w:lang w:eastAsia="lv-LV"/>
              </w:rPr>
            </w:pPr>
            <w:r w:rsidRPr="001260F6">
              <w:rPr>
                <w:color w:val="000000"/>
                <w:sz w:val="22"/>
                <w:szCs w:val="22"/>
                <w:lang w:eastAsia="lv-LV"/>
              </w:rPr>
              <w:t>Kopā ar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36408.96</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000000" w:fill="CCFF66"/>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t>2.1.</w:t>
            </w:r>
          </w:p>
        </w:tc>
        <w:tc>
          <w:tcPr>
            <w:tcW w:w="7540" w:type="dxa"/>
            <w:tcBorders>
              <w:top w:val="nil"/>
              <w:left w:val="nil"/>
              <w:bottom w:val="single" w:sz="4" w:space="0" w:color="auto"/>
              <w:right w:val="single" w:sz="4" w:space="0" w:color="auto"/>
            </w:tcBorders>
            <w:shd w:val="clear" w:color="000000" w:fill="CCFF66"/>
            <w:vAlign w:val="center"/>
            <w:hideMark/>
          </w:tcPr>
          <w:p w:rsidR="001260F6" w:rsidRPr="001260F6" w:rsidRDefault="001260F6" w:rsidP="001260F6">
            <w:pPr>
              <w:jc w:val="left"/>
              <w:rPr>
                <w:b/>
                <w:bCs/>
                <w:i/>
                <w:iCs/>
                <w:color w:val="000000"/>
                <w:sz w:val="22"/>
                <w:szCs w:val="22"/>
                <w:lang w:eastAsia="lv-LV"/>
              </w:rPr>
            </w:pPr>
            <w:r w:rsidRPr="001260F6">
              <w:rPr>
                <w:b/>
                <w:bCs/>
                <w:i/>
                <w:iCs/>
                <w:color w:val="000000"/>
                <w:sz w:val="22"/>
                <w:szCs w:val="22"/>
                <w:lang w:eastAsia="lv-LV"/>
              </w:rPr>
              <w:t>Tehniskās prasības</w:t>
            </w:r>
          </w:p>
        </w:tc>
        <w:tc>
          <w:tcPr>
            <w:tcW w:w="2140" w:type="dxa"/>
            <w:tcBorders>
              <w:top w:val="nil"/>
              <w:left w:val="nil"/>
              <w:bottom w:val="single" w:sz="4" w:space="0" w:color="auto"/>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single" w:sz="4" w:space="0" w:color="auto"/>
              <w:bottom w:val="single" w:sz="4" w:space="0" w:color="auto"/>
              <w:right w:val="single" w:sz="4" w:space="0" w:color="auto"/>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2.1.1</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Izotopa medicīniskais nosaukums: </w:t>
            </w:r>
            <w:proofErr w:type="spellStart"/>
            <w:r w:rsidRPr="001260F6">
              <w:rPr>
                <w:color w:val="000000"/>
                <w:sz w:val="22"/>
                <w:szCs w:val="22"/>
                <w:lang w:eastAsia="lv-LV"/>
              </w:rPr>
              <w:t>Ioflupane</w:t>
            </w:r>
            <w:proofErr w:type="spellEnd"/>
            <w:r w:rsidRPr="001260F6">
              <w:rPr>
                <w:color w:val="000000"/>
                <w:sz w:val="22"/>
                <w:szCs w:val="22"/>
                <w:lang w:eastAsia="lv-LV"/>
              </w:rPr>
              <w:t xml:space="preserve"> 123I  šķīdums radioizotopu  injekcijām </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2.1.2</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Izotopa fizikālās īpašības: Sterils, dzidrs, uzrādīt ražotāja apliecinājumu</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2.1.3</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Piegāde: Līdz </w:t>
            </w:r>
            <w:proofErr w:type="spellStart"/>
            <w:r w:rsidRPr="001260F6">
              <w:rPr>
                <w:color w:val="000000"/>
                <w:sz w:val="22"/>
                <w:szCs w:val="22"/>
                <w:lang w:eastAsia="lv-LV"/>
              </w:rPr>
              <w:t>eluācijas</w:t>
            </w:r>
            <w:proofErr w:type="spellEnd"/>
            <w:r w:rsidRPr="001260F6">
              <w:rPr>
                <w:color w:val="000000"/>
                <w:sz w:val="22"/>
                <w:szCs w:val="22"/>
                <w:lang w:eastAsia="lv-LV"/>
              </w:rPr>
              <w:t xml:space="preserve"> boksam </w:t>
            </w:r>
            <w:proofErr w:type="spellStart"/>
            <w:r w:rsidRPr="001260F6">
              <w:rPr>
                <w:color w:val="000000"/>
                <w:sz w:val="22"/>
                <w:szCs w:val="22"/>
                <w:lang w:eastAsia="lv-LV"/>
              </w:rPr>
              <w:t>Radionuklīdās</w:t>
            </w:r>
            <w:proofErr w:type="spellEnd"/>
            <w:r w:rsidRPr="001260F6">
              <w:rPr>
                <w:color w:val="000000"/>
                <w:sz w:val="22"/>
                <w:szCs w:val="22"/>
                <w:lang w:eastAsia="lv-LV"/>
              </w:rPr>
              <w:t xml:space="preserve"> diagnostikas nodaļā</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2.1.4</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Piegādes biežums: Pēc pieprasījuma</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lastRenderedPageBreak/>
              <w:t>2.1.5</w:t>
            </w:r>
          </w:p>
        </w:tc>
        <w:tc>
          <w:tcPr>
            <w:tcW w:w="7540" w:type="dxa"/>
            <w:tcBorders>
              <w:top w:val="nil"/>
              <w:left w:val="nil"/>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Iespēja izmantot </w:t>
            </w:r>
            <w:proofErr w:type="spellStart"/>
            <w:r w:rsidRPr="001260F6">
              <w:rPr>
                <w:color w:val="000000"/>
                <w:sz w:val="22"/>
                <w:szCs w:val="22"/>
                <w:lang w:eastAsia="lv-LV"/>
              </w:rPr>
              <w:t>eluātu</w:t>
            </w:r>
            <w:proofErr w:type="spellEnd"/>
            <w:r w:rsidRPr="001260F6">
              <w:rPr>
                <w:color w:val="000000"/>
                <w:sz w:val="22"/>
                <w:szCs w:val="22"/>
                <w:lang w:eastAsia="lv-LV"/>
              </w:rPr>
              <w:t xml:space="preserve"> medicīniskiem nolūkiem: Sākot ar piegādes dienas rītu</w:t>
            </w:r>
          </w:p>
        </w:tc>
        <w:tc>
          <w:tcPr>
            <w:tcW w:w="2140" w:type="dxa"/>
            <w:tcBorders>
              <w:top w:val="nil"/>
              <w:left w:val="nil"/>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 </w:t>
            </w:r>
          </w:p>
        </w:tc>
        <w:tc>
          <w:tcPr>
            <w:tcW w:w="7540" w:type="dxa"/>
            <w:tcBorders>
              <w:top w:val="nil"/>
              <w:left w:val="nil"/>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Viena pasūtījuma aktivitāte 370 </w:t>
            </w:r>
            <w:proofErr w:type="spellStart"/>
            <w:r w:rsidRPr="001260F6">
              <w:rPr>
                <w:color w:val="000000"/>
                <w:sz w:val="22"/>
                <w:szCs w:val="22"/>
                <w:lang w:eastAsia="lv-LV"/>
              </w:rPr>
              <w:t>MBq</w:t>
            </w:r>
            <w:proofErr w:type="spellEnd"/>
          </w:p>
        </w:tc>
        <w:tc>
          <w:tcPr>
            <w:tcW w:w="2140" w:type="dxa"/>
            <w:tcBorders>
              <w:top w:val="nil"/>
              <w:left w:val="nil"/>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2.1.6</w:t>
            </w:r>
          </w:p>
        </w:tc>
        <w:tc>
          <w:tcPr>
            <w:tcW w:w="75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left"/>
              <w:rPr>
                <w:color w:val="000000"/>
                <w:sz w:val="22"/>
                <w:szCs w:val="22"/>
                <w:lang w:eastAsia="lv-LV"/>
              </w:rPr>
            </w:pPr>
            <w:r w:rsidRPr="001260F6">
              <w:rPr>
                <w:color w:val="000000"/>
                <w:sz w:val="22"/>
                <w:szCs w:val="22"/>
                <w:lang w:eastAsia="lv-LV"/>
              </w:rPr>
              <w:t>Daudzums: 30 gab.</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 </w:t>
            </w:r>
          </w:p>
        </w:tc>
        <w:tc>
          <w:tcPr>
            <w:tcW w:w="7540" w:type="dxa"/>
            <w:tcBorders>
              <w:top w:val="nil"/>
              <w:left w:val="nil"/>
              <w:bottom w:val="single" w:sz="4" w:space="0" w:color="auto"/>
              <w:right w:val="single" w:sz="4" w:space="0" w:color="auto"/>
            </w:tcBorders>
            <w:shd w:val="clear" w:color="auto" w:fill="auto"/>
            <w:hideMark/>
          </w:tcPr>
          <w:p w:rsidR="001260F6" w:rsidRPr="001260F6" w:rsidRDefault="001260F6" w:rsidP="001260F6">
            <w:pPr>
              <w:jc w:val="left"/>
              <w:rPr>
                <w:color w:val="000000"/>
                <w:sz w:val="22"/>
                <w:szCs w:val="22"/>
                <w:lang w:eastAsia="lv-LV"/>
              </w:rPr>
            </w:pPr>
            <w:r w:rsidRPr="001260F6">
              <w:rPr>
                <w:color w:val="000000"/>
                <w:sz w:val="22"/>
                <w:szCs w:val="22"/>
                <w:lang w:eastAsia="lv-LV"/>
              </w:rPr>
              <w:t> </w:t>
            </w:r>
          </w:p>
        </w:tc>
        <w:tc>
          <w:tcPr>
            <w:tcW w:w="2140" w:type="dxa"/>
            <w:tcBorders>
              <w:top w:val="nil"/>
              <w:left w:val="nil"/>
              <w:bottom w:val="single" w:sz="4" w:space="0" w:color="auto"/>
              <w:right w:val="single" w:sz="4" w:space="0" w:color="auto"/>
            </w:tcBorders>
            <w:shd w:val="clear" w:color="000000" w:fill="FFFFFF"/>
            <w:hideMark/>
          </w:tcPr>
          <w:p w:rsidR="001260F6" w:rsidRPr="001260F6" w:rsidRDefault="001260F6" w:rsidP="001260F6">
            <w:pPr>
              <w:jc w:val="center"/>
              <w:rPr>
                <w:b/>
                <w:bCs/>
                <w:sz w:val="22"/>
                <w:szCs w:val="22"/>
                <w:lang w:eastAsia="lv-LV"/>
              </w:rPr>
            </w:pPr>
            <w:r w:rsidRPr="001260F6">
              <w:rPr>
                <w:b/>
                <w:bCs/>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435"/>
        </w:trPr>
        <w:tc>
          <w:tcPr>
            <w:tcW w:w="1060" w:type="dxa"/>
            <w:tcBorders>
              <w:top w:val="nil"/>
              <w:left w:val="single" w:sz="4" w:space="0" w:color="auto"/>
              <w:bottom w:val="single" w:sz="4" w:space="0" w:color="auto"/>
              <w:right w:val="single" w:sz="4" w:space="0" w:color="auto"/>
            </w:tcBorders>
            <w:shd w:val="clear" w:color="000000" w:fill="92D050"/>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t>3.</w:t>
            </w:r>
          </w:p>
        </w:tc>
        <w:tc>
          <w:tcPr>
            <w:tcW w:w="7540" w:type="dxa"/>
            <w:tcBorders>
              <w:top w:val="nil"/>
              <w:left w:val="nil"/>
              <w:bottom w:val="single" w:sz="4" w:space="0" w:color="auto"/>
              <w:right w:val="single" w:sz="4" w:space="0" w:color="auto"/>
            </w:tcBorders>
            <w:shd w:val="clear" w:color="000000" w:fill="92D050"/>
            <w:noWrap/>
            <w:vAlign w:val="bottom"/>
            <w:hideMark/>
          </w:tcPr>
          <w:p w:rsidR="001260F6" w:rsidRPr="001260F6" w:rsidRDefault="001260F6" w:rsidP="001260F6">
            <w:pPr>
              <w:jc w:val="left"/>
              <w:rPr>
                <w:b/>
                <w:bCs/>
                <w:sz w:val="28"/>
                <w:szCs w:val="28"/>
                <w:lang w:eastAsia="lv-LV"/>
              </w:rPr>
            </w:pPr>
            <w:r w:rsidRPr="001260F6">
              <w:rPr>
                <w:b/>
                <w:bCs/>
                <w:sz w:val="28"/>
                <w:szCs w:val="28"/>
                <w:lang w:eastAsia="lv-LV"/>
              </w:rPr>
              <w:t xml:space="preserve">Vakuuma flakoni </w:t>
            </w:r>
            <w:r w:rsidRPr="001260F6">
              <w:rPr>
                <w:b/>
                <w:bCs/>
                <w:sz w:val="28"/>
                <w:szCs w:val="28"/>
                <w:vertAlign w:val="superscript"/>
                <w:lang w:eastAsia="lv-LV"/>
              </w:rPr>
              <w:t>99</w:t>
            </w:r>
            <w:r w:rsidRPr="001260F6">
              <w:rPr>
                <w:b/>
                <w:bCs/>
                <w:sz w:val="28"/>
                <w:szCs w:val="28"/>
                <w:lang w:eastAsia="lv-LV"/>
              </w:rPr>
              <w:t>Tc ģeneratoram</w:t>
            </w:r>
          </w:p>
        </w:tc>
        <w:tc>
          <w:tcPr>
            <w:tcW w:w="3591"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1260F6" w:rsidRPr="001260F6" w:rsidRDefault="001260F6" w:rsidP="001260F6">
            <w:pPr>
              <w:jc w:val="center"/>
              <w:rPr>
                <w:b/>
                <w:bCs/>
                <w:sz w:val="28"/>
                <w:szCs w:val="28"/>
                <w:lang w:eastAsia="lv-LV"/>
              </w:rPr>
            </w:pPr>
            <w:r w:rsidRPr="001260F6">
              <w:rPr>
                <w:b/>
                <w:bCs/>
                <w:sz w:val="28"/>
                <w:szCs w:val="28"/>
                <w:lang w:eastAsia="lv-LV"/>
              </w:rPr>
              <w:t> </w:t>
            </w:r>
          </w:p>
        </w:tc>
      </w:tr>
      <w:tr w:rsidR="001260F6" w:rsidRPr="001260F6" w:rsidTr="001260F6">
        <w:trPr>
          <w:trHeight w:val="27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260F6" w:rsidRPr="001260F6" w:rsidRDefault="001260F6" w:rsidP="001260F6">
            <w:pPr>
              <w:jc w:val="left"/>
              <w:rPr>
                <w:rFonts w:ascii="Calibri" w:hAnsi="Calibri"/>
                <w:b/>
                <w:bCs/>
                <w:i/>
                <w:iCs/>
                <w:color w:val="000000"/>
                <w:sz w:val="22"/>
                <w:szCs w:val="22"/>
                <w:lang w:eastAsia="lv-LV"/>
              </w:rPr>
            </w:pPr>
            <w:r w:rsidRPr="001260F6">
              <w:rPr>
                <w:rFonts w:ascii="Calibri" w:hAnsi="Calibri"/>
                <w:b/>
                <w:bCs/>
                <w:i/>
                <w:iCs/>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Daudzums (</w:t>
            </w:r>
            <w:proofErr w:type="spellStart"/>
            <w:r w:rsidRPr="001260F6">
              <w:rPr>
                <w:sz w:val="22"/>
                <w:szCs w:val="22"/>
                <w:lang w:eastAsia="lv-LV"/>
              </w:rPr>
              <w:t>gab</w:t>
            </w:r>
            <w:proofErr w:type="spellEnd"/>
            <w:r w:rsidRPr="001260F6">
              <w:rPr>
                <w:sz w:val="22"/>
                <w:szCs w:val="22"/>
                <w:lang w:eastAsia="lv-LV"/>
              </w:rPr>
              <w:t>)</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b/>
                <w:bCs/>
                <w:sz w:val="22"/>
                <w:szCs w:val="22"/>
                <w:lang w:eastAsia="lv-LV"/>
              </w:rPr>
            </w:pPr>
            <w:r w:rsidRPr="001260F6">
              <w:rPr>
                <w:b/>
                <w:bCs/>
                <w:sz w:val="22"/>
                <w:szCs w:val="22"/>
                <w:lang w:eastAsia="lv-LV"/>
              </w:rPr>
              <w:t>1200</w:t>
            </w:r>
          </w:p>
        </w:tc>
      </w:tr>
      <w:tr w:rsidR="001260F6" w:rsidRPr="001260F6" w:rsidTr="001260F6">
        <w:trPr>
          <w:trHeight w:val="33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260F6" w:rsidRPr="001260F6" w:rsidRDefault="001260F6" w:rsidP="001260F6">
            <w:pPr>
              <w:jc w:val="left"/>
              <w:rPr>
                <w:rFonts w:ascii="Calibri" w:hAnsi="Calibri"/>
                <w:b/>
                <w:bCs/>
                <w:i/>
                <w:iCs/>
                <w:color w:val="000000"/>
                <w:sz w:val="22"/>
                <w:szCs w:val="22"/>
                <w:lang w:eastAsia="lv-LV"/>
              </w:rPr>
            </w:pPr>
            <w:r w:rsidRPr="001260F6">
              <w:rPr>
                <w:rFonts w:ascii="Calibri" w:hAnsi="Calibri"/>
                <w:b/>
                <w:bCs/>
                <w:i/>
                <w:iCs/>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Preces ražotājs (valsts):</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sz w:val="22"/>
                <w:szCs w:val="22"/>
                <w:lang w:eastAsia="lv-LV"/>
              </w:rPr>
            </w:pPr>
            <w:r w:rsidRPr="001260F6">
              <w:rPr>
                <w:sz w:val="22"/>
                <w:szCs w:val="22"/>
                <w:lang w:eastAsia="lv-LV"/>
              </w:rPr>
              <w:t>Anglija</w:t>
            </w:r>
          </w:p>
        </w:tc>
      </w:tr>
      <w:tr w:rsidR="001260F6" w:rsidRPr="001260F6" w:rsidTr="001260F6">
        <w:trPr>
          <w:trHeight w:val="3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 xml:space="preserve">Preces modelis: </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rFonts w:ascii="Calibri" w:hAnsi="Calibri"/>
                <w:b/>
                <w:bCs/>
                <w:color w:val="000000"/>
                <w:sz w:val="22"/>
                <w:szCs w:val="22"/>
                <w:lang w:eastAsia="lv-LV"/>
              </w:rPr>
            </w:pPr>
            <w:proofErr w:type="spellStart"/>
            <w:r w:rsidRPr="001260F6">
              <w:rPr>
                <w:rFonts w:ascii="Calibri" w:hAnsi="Calibri"/>
                <w:b/>
                <w:bCs/>
                <w:color w:val="000000"/>
                <w:sz w:val="22"/>
                <w:szCs w:val="22"/>
                <w:lang w:eastAsia="lv-LV"/>
              </w:rPr>
              <w:t>Drytec</w:t>
            </w:r>
            <w:proofErr w:type="spellEnd"/>
            <w:r w:rsidRPr="001260F6">
              <w:rPr>
                <w:rFonts w:ascii="Calibri" w:hAnsi="Calibri"/>
                <w:b/>
                <w:bCs/>
                <w:color w:val="000000"/>
                <w:sz w:val="22"/>
                <w:szCs w:val="22"/>
                <w:lang w:eastAsia="lv-LV"/>
              </w:rPr>
              <w:t xml:space="preserve"> </w:t>
            </w:r>
            <w:proofErr w:type="spellStart"/>
            <w:r w:rsidRPr="001260F6">
              <w:rPr>
                <w:rFonts w:ascii="Calibri" w:hAnsi="Calibri"/>
                <w:b/>
                <w:bCs/>
                <w:color w:val="000000"/>
                <w:sz w:val="22"/>
                <w:szCs w:val="22"/>
                <w:lang w:eastAsia="lv-LV"/>
              </w:rPr>
              <w:t>Elution</w:t>
            </w:r>
            <w:proofErr w:type="spellEnd"/>
            <w:r w:rsidRPr="001260F6">
              <w:rPr>
                <w:rFonts w:ascii="Calibri" w:hAnsi="Calibri"/>
                <w:b/>
                <w:bCs/>
                <w:color w:val="000000"/>
                <w:sz w:val="22"/>
                <w:szCs w:val="22"/>
                <w:lang w:eastAsia="lv-LV"/>
              </w:rPr>
              <w:t xml:space="preserve"> </w:t>
            </w:r>
            <w:proofErr w:type="spellStart"/>
            <w:r w:rsidRPr="001260F6">
              <w:rPr>
                <w:rFonts w:ascii="Calibri" w:hAnsi="Calibri"/>
                <w:b/>
                <w:bCs/>
                <w:color w:val="000000"/>
                <w:sz w:val="22"/>
                <w:szCs w:val="22"/>
                <w:lang w:eastAsia="lv-LV"/>
              </w:rPr>
              <w:t>Vials</w:t>
            </w:r>
            <w:proofErr w:type="spellEnd"/>
          </w:p>
        </w:tc>
      </w:tr>
      <w:tr w:rsidR="001260F6" w:rsidRPr="001260F6" w:rsidTr="001260F6">
        <w:trPr>
          <w:trHeight w:val="360"/>
        </w:trPr>
        <w:tc>
          <w:tcPr>
            <w:tcW w:w="1060" w:type="dxa"/>
            <w:tcBorders>
              <w:top w:val="nil"/>
              <w:left w:val="nil"/>
              <w:bottom w:val="nil"/>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single" w:sz="4" w:space="0" w:color="auto"/>
              <w:bottom w:val="single" w:sz="4" w:space="0" w:color="auto"/>
              <w:right w:val="nil"/>
            </w:tcBorders>
            <w:shd w:val="clear" w:color="000000" w:fill="CCFF66"/>
            <w:vAlign w:val="center"/>
            <w:hideMark/>
          </w:tcPr>
          <w:p w:rsidR="001260F6" w:rsidRPr="001260F6" w:rsidRDefault="001260F6" w:rsidP="001260F6">
            <w:pPr>
              <w:jc w:val="right"/>
              <w:rPr>
                <w:b/>
                <w:bCs/>
                <w:sz w:val="22"/>
                <w:szCs w:val="22"/>
                <w:lang w:eastAsia="lv-LV"/>
              </w:rPr>
            </w:pPr>
            <w:r w:rsidRPr="001260F6">
              <w:rPr>
                <w:b/>
                <w:bCs/>
                <w:sz w:val="22"/>
                <w:szCs w:val="22"/>
                <w:lang w:eastAsia="lv-LV"/>
              </w:rPr>
              <w:t>1 vienības cena bez PVN, EUR:</w:t>
            </w:r>
          </w:p>
        </w:tc>
        <w:tc>
          <w:tcPr>
            <w:tcW w:w="3591" w:type="dxa"/>
            <w:gridSpan w:val="2"/>
            <w:tcBorders>
              <w:top w:val="single" w:sz="4" w:space="0" w:color="auto"/>
              <w:left w:val="nil"/>
              <w:bottom w:val="single" w:sz="4" w:space="0" w:color="auto"/>
              <w:right w:val="single" w:sz="4" w:space="0" w:color="000000"/>
            </w:tcBorders>
            <w:shd w:val="clear" w:color="000000" w:fill="CCFF66"/>
            <w:vAlign w:val="center"/>
            <w:hideMark/>
          </w:tcPr>
          <w:p w:rsidR="001260F6" w:rsidRPr="001260F6" w:rsidRDefault="001260F6" w:rsidP="001260F6">
            <w:pPr>
              <w:jc w:val="center"/>
              <w:rPr>
                <w:b/>
                <w:bCs/>
                <w:sz w:val="22"/>
                <w:szCs w:val="22"/>
                <w:lang w:eastAsia="lv-LV"/>
              </w:rPr>
            </w:pPr>
            <w:r w:rsidRPr="001260F6">
              <w:rPr>
                <w:b/>
                <w:bCs/>
                <w:sz w:val="22"/>
                <w:szCs w:val="22"/>
                <w:lang w:eastAsia="lv-LV"/>
              </w:rPr>
              <w:t>11.76</w:t>
            </w:r>
          </w:p>
        </w:tc>
      </w:tr>
      <w:tr w:rsidR="001260F6" w:rsidRPr="001260F6" w:rsidTr="001260F6">
        <w:trPr>
          <w:trHeight w:val="285"/>
        </w:trPr>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60F6" w:rsidRPr="001260F6" w:rsidRDefault="001260F6" w:rsidP="001260F6">
            <w:pPr>
              <w:jc w:val="right"/>
              <w:rPr>
                <w:b/>
                <w:bCs/>
                <w:sz w:val="22"/>
                <w:szCs w:val="22"/>
                <w:lang w:eastAsia="lv-LV"/>
              </w:rPr>
            </w:pPr>
            <w:r w:rsidRPr="001260F6">
              <w:rPr>
                <w:b/>
                <w:bCs/>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Kopā bez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14112.00</w:t>
            </w:r>
          </w:p>
        </w:tc>
      </w:tr>
      <w:tr w:rsidR="001260F6" w:rsidRPr="001260F6" w:rsidTr="001260F6">
        <w:trPr>
          <w:trHeight w:val="315"/>
        </w:trPr>
        <w:tc>
          <w:tcPr>
            <w:tcW w:w="1060" w:type="dxa"/>
            <w:tcBorders>
              <w:top w:val="nil"/>
              <w:left w:val="single" w:sz="4" w:space="0" w:color="auto"/>
              <w:bottom w:val="single" w:sz="4" w:space="0" w:color="auto"/>
              <w:right w:val="single" w:sz="4" w:space="0" w:color="auto"/>
            </w:tcBorders>
            <w:shd w:val="clear" w:color="000000" w:fill="FFFFFF"/>
            <w:vAlign w:val="center"/>
            <w:hideMark/>
          </w:tcPr>
          <w:p w:rsidR="001260F6" w:rsidRPr="001260F6" w:rsidRDefault="001260F6" w:rsidP="001260F6">
            <w:pPr>
              <w:jc w:val="right"/>
              <w:rPr>
                <w:b/>
                <w:bCs/>
                <w:sz w:val="22"/>
                <w:szCs w:val="22"/>
                <w:lang w:eastAsia="lv-LV"/>
              </w:rPr>
            </w:pPr>
            <w:r w:rsidRPr="001260F6">
              <w:rPr>
                <w:b/>
                <w:bCs/>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PVN likme,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1693.44</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color w:val="000000"/>
                <w:sz w:val="22"/>
                <w:szCs w:val="22"/>
                <w:lang w:eastAsia="lv-LV"/>
              </w:rPr>
            </w:pPr>
            <w:r w:rsidRPr="001260F6">
              <w:rPr>
                <w:color w:val="000000"/>
                <w:sz w:val="22"/>
                <w:szCs w:val="22"/>
                <w:lang w:eastAsia="lv-LV"/>
              </w:rPr>
              <w:t>Kopā ar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15805.44</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000000" w:fill="CCFF66"/>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t>3.1.</w:t>
            </w:r>
          </w:p>
        </w:tc>
        <w:tc>
          <w:tcPr>
            <w:tcW w:w="7540" w:type="dxa"/>
            <w:tcBorders>
              <w:top w:val="nil"/>
              <w:left w:val="nil"/>
              <w:bottom w:val="single" w:sz="4" w:space="0" w:color="auto"/>
              <w:right w:val="single" w:sz="4" w:space="0" w:color="auto"/>
            </w:tcBorders>
            <w:shd w:val="clear" w:color="000000" w:fill="CCFF66"/>
            <w:vAlign w:val="center"/>
            <w:hideMark/>
          </w:tcPr>
          <w:p w:rsidR="001260F6" w:rsidRPr="001260F6" w:rsidRDefault="001260F6" w:rsidP="001260F6">
            <w:pPr>
              <w:jc w:val="left"/>
              <w:rPr>
                <w:b/>
                <w:bCs/>
                <w:i/>
                <w:iCs/>
                <w:color w:val="000000"/>
                <w:sz w:val="22"/>
                <w:szCs w:val="22"/>
                <w:lang w:eastAsia="lv-LV"/>
              </w:rPr>
            </w:pPr>
            <w:r w:rsidRPr="001260F6">
              <w:rPr>
                <w:b/>
                <w:bCs/>
                <w:i/>
                <w:iCs/>
                <w:color w:val="000000"/>
                <w:sz w:val="22"/>
                <w:szCs w:val="22"/>
                <w:lang w:eastAsia="lv-LV"/>
              </w:rPr>
              <w:t>Tehniskās prasības</w:t>
            </w:r>
          </w:p>
        </w:tc>
        <w:tc>
          <w:tcPr>
            <w:tcW w:w="2140" w:type="dxa"/>
            <w:tcBorders>
              <w:top w:val="nil"/>
              <w:left w:val="nil"/>
              <w:bottom w:val="single" w:sz="4" w:space="0" w:color="auto"/>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single" w:sz="4" w:space="0" w:color="auto"/>
              <w:bottom w:val="single" w:sz="4" w:space="0" w:color="auto"/>
              <w:right w:val="single" w:sz="4" w:space="0" w:color="auto"/>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3.1.1</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Tilpums: 40 ml</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3.1.2</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Prasības flakonam: Sterils. Vakuums</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3.1.3</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Piegādes biežums: Pēc pieprasījuma</w:t>
            </w:r>
          </w:p>
        </w:tc>
        <w:tc>
          <w:tcPr>
            <w:tcW w:w="2140" w:type="dxa"/>
            <w:tcBorders>
              <w:top w:val="nil"/>
              <w:left w:val="nil"/>
              <w:bottom w:val="nil"/>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3.1.4</w:t>
            </w:r>
          </w:p>
        </w:tc>
        <w:tc>
          <w:tcPr>
            <w:tcW w:w="7540" w:type="dxa"/>
            <w:tcBorders>
              <w:top w:val="nil"/>
              <w:left w:val="nil"/>
              <w:bottom w:val="single" w:sz="4" w:space="0" w:color="auto"/>
              <w:right w:val="single" w:sz="4" w:space="0" w:color="auto"/>
            </w:tcBorders>
            <w:shd w:val="clear" w:color="000000" w:fill="FFFFFF"/>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Daudzums: 1200 gab.</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260F6" w:rsidRPr="001260F6" w:rsidRDefault="001260F6" w:rsidP="001260F6">
            <w:pPr>
              <w:jc w:val="center"/>
              <w:rPr>
                <w:b/>
                <w:bCs/>
                <w:color w:val="000000"/>
                <w:sz w:val="22"/>
                <w:szCs w:val="22"/>
                <w:lang w:eastAsia="lv-LV"/>
              </w:rPr>
            </w:pPr>
            <w:r w:rsidRPr="001260F6">
              <w:rPr>
                <w:b/>
                <w:bCs/>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75"/>
        </w:trPr>
        <w:tc>
          <w:tcPr>
            <w:tcW w:w="1060" w:type="dxa"/>
            <w:tcBorders>
              <w:top w:val="nil"/>
              <w:left w:val="single" w:sz="4" w:space="0" w:color="auto"/>
              <w:bottom w:val="single" w:sz="4" w:space="0" w:color="auto"/>
              <w:right w:val="single" w:sz="4" w:space="0" w:color="auto"/>
            </w:tcBorders>
            <w:shd w:val="clear" w:color="000000" w:fill="92D050"/>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t>4.</w:t>
            </w:r>
          </w:p>
        </w:tc>
        <w:tc>
          <w:tcPr>
            <w:tcW w:w="7540" w:type="dxa"/>
            <w:tcBorders>
              <w:top w:val="nil"/>
              <w:left w:val="nil"/>
              <w:bottom w:val="single" w:sz="4" w:space="0" w:color="auto"/>
              <w:right w:val="single" w:sz="4" w:space="0" w:color="auto"/>
            </w:tcBorders>
            <w:shd w:val="clear" w:color="000000" w:fill="92D050"/>
            <w:noWrap/>
            <w:vAlign w:val="bottom"/>
            <w:hideMark/>
          </w:tcPr>
          <w:p w:rsidR="001260F6" w:rsidRPr="001260F6" w:rsidRDefault="001260F6" w:rsidP="001260F6">
            <w:pPr>
              <w:jc w:val="left"/>
              <w:rPr>
                <w:b/>
                <w:bCs/>
                <w:sz w:val="28"/>
                <w:szCs w:val="28"/>
                <w:lang w:eastAsia="lv-LV"/>
              </w:rPr>
            </w:pPr>
            <w:r w:rsidRPr="001260F6">
              <w:rPr>
                <w:b/>
                <w:bCs/>
                <w:sz w:val="28"/>
                <w:szCs w:val="28"/>
                <w:lang w:eastAsia="lv-LV"/>
              </w:rPr>
              <w:t xml:space="preserve">Flakoni </w:t>
            </w:r>
            <w:proofErr w:type="spellStart"/>
            <w:r w:rsidRPr="001260F6">
              <w:rPr>
                <w:b/>
                <w:bCs/>
                <w:sz w:val="28"/>
                <w:szCs w:val="28"/>
                <w:lang w:eastAsia="lv-LV"/>
              </w:rPr>
              <w:t>NaCl</w:t>
            </w:r>
            <w:proofErr w:type="spellEnd"/>
            <w:r w:rsidRPr="001260F6">
              <w:rPr>
                <w:b/>
                <w:bCs/>
                <w:sz w:val="28"/>
                <w:szCs w:val="28"/>
                <w:lang w:eastAsia="lv-LV"/>
              </w:rPr>
              <w:t xml:space="preserve"> ģeneratora skalošanai </w:t>
            </w:r>
          </w:p>
        </w:tc>
        <w:tc>
          <w:tcPr>
            <w:tcW w:w="3591"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1260F6" w:rsidRPr="001260F6" w:rsidRDefault="001260F6" w:rsidP="001260F6">
            <w:pPr>
              <w:jc w:val="center"/>
              <w:rPr>
                <w:b/>
                <w:bCs/>
                <w:sz w:val="28"/>
                <w:szCs w:val="28"/>
                <w:lang w:eastAsia="lv-LV"/>
              </w:rPr>
            </w:pPr>
            <w:r w:rsidRPr="001260F6">
              <w:rPr>
                <w:b/>
                <w:bCs/>
                <w:sz w:val="28"/>
                <w:szCs w:val="28"/>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Daudzums (</w:t>
            </w:r>
            <w:proofErr w:type="spellStart"/>
            <w:r w:rsidRPr="001260F6">
              <w:rPr>
                <w:sz w:val="22"/>
                <w:szCs w:val="22"/>
                <w:lang w:eastAsia="lv-LV"/>
              </w:rPr>
              <w:t>gab</w:t>
            </w:r>
            <w:proofErr w:type="spellEnd"/>
            <w:r w:rsidRPr="001260F6">
              <w:rPr>
                <w:sz w:val="22"/>
                <w:szCs w:val="22"/>
                <w:lang w:eastAsia="lv-LV"/>
              </w:rPr>
              <w:t>)</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b/>
                <w:bCs/>
                <w:sz w:val="22"/>
                <w:szCs w:val="22"/>
                <w:lang w:eastAsia="lv-LV"/>
              </w:rPr>
            </w:pPr>
            <w:r w:rsidRPr="001260F6">
              <w:rPr>
                <w:b/>
                <w:bCs/>
                <w:sz w:val="22"/>
                <w:szCs w:val="22"/>
                <w:lang w:eastAsia="lv-LV"/>
              </w:rPr>
              <w:t>1200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Preces ražotājs (valsts):</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sz w:val="22"/>
                <w:szCs w:val="22"/>
                <w:lang w:eastAsia="lv-LV"/>
              </w:rPr>
            </w:pPr>
            <w:r w:rsidRPr="001260F6">
              <w:rPr>
                <w:sz w:val="22"/>
                <w:szCs w:val="22"/>
                <w:lang w:eastAsia="lv-LV"/>
              </w:rPr>
              <w:t>Anglija</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 xml:space="preserve">Preces modelis: </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rFonts w:ascii="Calibri" w:hAnsi="Calibri"/>
                <w:b/>
                <w:bCs/>
                <w:color w:val="000000"/>
                <w:sz w:val="22"/>
                <w:szCs w:val="22"/>
                <w:lang w:eastAsia="lv-LV"/>
              </w:rPr>
            </w:pPr>
            <w:proofErr w:type="spellStart"/>
            <w:r w:rsidRPr="001260F6">
              <w:rPr>
                <w:rFonts w:ascii="Calibri" w:hAnsi="Calibri"/>
                <w:b/>
                <w:bCs/>
                <w:color w:val="000000"/>
                <w:sz w:val="22"/>
                <w:szCs w:val="22"/>
                <w:lang w:eastAsia="lv-LV"/>
              </w:rPr>
              <w:t>Saline</w:t>
            </w:r>
            <w:proofErr w:type="spellEnd"/>
            <w:r w:rsidRPr="001260F6">
              <w:rPr>
                <w:rFonts w:ascii="Calibri" w:hAnsi="Calibri"/>
                <w:b/>
                <w:bCs/>
                <w:color w:val="000000"/>
                <w:sz w:val="22"/>
                <w:szCs w:val="22"/>
                <w:lang w:eastAsia="lv-LV"/>
              </w:rPr>
              <w:t xml:space="preserve"> (</w:t>
            </w:r>
            <w:proofErr w:type="spellStart"/>
            <w:r w:rsidRPr="001260F6">
              <w:rPr>
                <w:rFonts w:ascii="Calibri" w:hAnsi="Calibri"/>
                <w:b/>
                <w:bCs/>
                <w:color w:val="000000"/>
                <w:sz w:val="22"/>
                <w:szCs w:val="22"/>
                <w:lang w:eastAsia="lv-LV"/>
              </w:rPr>
              <w:t>NaCl</w:t>
            </w:r>
            <w:proofErr w:type="spellEnd"/>
            <w:r w:rsidRPr="001260F6">
              <w:rPr>
                <w:rFonts w:ascii="Calibri" w:hAnsi="Calibri"/>
                <w:b/>
                <w:bCs/>
                <w:color w:val="000000"/>
                <w:sz w:val="22"/>
                <w:szCs w:val="22"/>
                <w:lang w:eastAsia="lv-LV"/>
              </w:rPr>
              <w:t xml:space="preserve">) </w:t>
            </w:r>
            <w:proofErr w:type="spellStart"/>
            <w:r w:rsidRPr="001260F6">
              <w:rPr>
                <w:rFonts w:ascii="Calibri" w:hAnsi="Calibri"/>
                <w:b/>
                <w:bCs/>
                <w:color w:val="000000"/>
                <w:sz w:val="22"/>
                <w:szCs w:val="22"/>
                <w:lang w:eastAsia="lv-LV"/>
              </w:rPr>
              <w:t>vials</w:t>
            </w:r>
            <w:proofErr w:type="spellEnd"/>
            <w:r w:rsidRPr="001260F6">
              <w:rPr>
                <w:rFonts w:ascii="Calibri" w:hAnsi="Calibri"/>
                <w:b/>
                <w:bCs/>
                <w:color w:val="000000"/>
                <w:sz w:val="22"/>
                <w:szCs w:val="22"/>
                <w:lang w:eastAsia="lv-LV"/>
              </w:rPr>
              <w:t xml:space="preserve"> 10 ml</w:t>
            </w:r>
          </w:p>
        </w:tc>
      </w:tr>
      <w:tr w:rsidR="001260F6" w:rsidRPr="001260F6" w:rsidTr="001260F6">
        <w:trPr>
          <w:trHeight w:val="300"/>
        </w:trPr>
        <w:tc>
          <w:tcPr>
            <w:tcW w:w="1060" w:type="dxa"/>
            <w:tcBorders>
              <w:top w:val="nil"/>
              <w:left w:val="nil"/>
              <w:bottom w:val="nil"/>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single" w:sz="4" w:space="0" w:color="auto"/>
              <w:bottom w:val="single" w:sz="4" w:space="0" w:color="auto"/>
              <w:right w:val="nil"/>
            </w:tcBorders>
            <w:shd w:val="clear" w:color="000000" w:fill="CCFF66"/>
            <w:vAlign w:val="center"/>
            <w:hideMark/>
          </w:tcPr>
          <w:p w:rsidR="001260F6" w:rsidRPr="001260F6" w:rsidRDefault="001260F6" w:rsidP="001260F6">
            <w:pPr>
              <w:jc w:val="right"/>
              <w:rPr>
                <w:b/>
                <w:bCs/>
                <w:sz w:val="22"/>
                <w:szCs w:val="22"/>
                <w:lang w:eastAsia="lv-LV"/>
              </w:rPr>
            </w:pPr>
            <w:r w:rsidRPr="001260F6">
              <w:rPr>
                <w:b/>
                <w:bCs/>
                <w:sz w:val="22"/>
                <w:szCs w:val="22"/>
                <w:lang w:eastAsia="lv-LV"/>
              </w:rPr>
              <w:t>1 vienības cena bez PVN, EUR:</w:t>
            </w:r>
          </w:p>
        </w:tc>
        <w:tc>
          <w:tcPr>
            <w:tcW w:w="3591" w:type="dxa"/>
            <w:gridSpan w:val="2"/>
            <w:tcBorders>
              <w:top w:val="single" w:sz="4" w:space="0" w:color="auto"/>
              <w:left w:val="single" w:sz="4" w:space="0" w:color="auto"/>
              <w:bottom w:val="single" w:sz="4" w:space="0" w:color="auto"/>
              <w:right w:val="single" w:sz="4" w:space="0" w:color="000000"/>
            </w:tcBorders>
            <w:shd w:val="clear" w:color="000000" w:fill="CCFF66"/>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4.00</w:t>
            </w:r>
          </w:p>
        </w:tc>
      </w:tr>
      <w:tr w:rsidR="001260F6" w:rsidRPr="001260F6" w:rsidTr="001260F6">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Kopā bez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4800.00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PVN likme,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576.00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color w:val="000000"/>
                <w:sz w:val="22"/>
                <w:szCs w:val="22"/>
                <w:lang w:eastAsia="lv-LV"/>
              </w:rPr>
            </w:pPr>
            <w:r w:rsidRPr="001260F6">
              <w:rPr>
                <w:color w:val="000000"/>
                <w:sz w:val="22"/>
                <w:szCs w:val="22"/>
                <w:lang w:eastAsia="lv-LV"/>
              </w:rPr>
              <w:t>Kopā ar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5376.00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000000" w:fill="CCFF66"/>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lastRenderedPageBreak/>
              <w:t>4.1.</w:t>
            </w:r>
          </w:p>
        </w:tc>
        <w:tc>
          <w:tcPr>
            <w:tcW w:w="7540" w:type="dxa"/>
            <w:tcBorders>
              <w:top w:val="nil"/>
              <w:left w:val="nil"/>
              <w:bottom w:val="single" w:sz="4" w:space="0" w:color="auto"/>
              <w:right w:val="single" w:sz="4" w:space="0" w:color="auto"/>
            </w:tcBorders>
            <w:shd w:val="clear" w:color="000000" w:fill="CCFF66"/>
            <w:vAlign w:val="center"/>
            <w:hideMark/>
          </w:tcPr>
          <w:p w:rsidR="001260F6" w:rsidRPr="001260F6" w:rsidRDefault="001260F6" w:rsidP="001260F6">
            <w:pPr>
              <w:jc w:val="left"/>
              <w:rPr>
                <w:b/>
                <w:bCs/>
                <w:i/>
                <w:iCs/>
                <w:color w:val="000000"/>
                <w:sz w:val="22"/>
                <w:szCs w:val="22"/>
                <w:lang w:eastAsia="lv-LV"/>
              </w:rPr>
            </w:pPr>
            <w:r w:rsidRPr="001260F6">
              <w:rPr>
                <w:b/>
                <w:bCs/>
                <w:i/>
                <w:iCs/>
                <w:color w:val="000000"/>
                <w:sz w:val="22"/>
                <w:szCs w:val="22"/>
                <w:lang w:eastAsia="lv-LV"/>
              </w:rPr>
              <w:t>Tehniskās prasības</w:t>
            </w:r>
          </w:p>
        </w:tc>
        <w:tc>
          <w:tcPr>
            <w:tcW w:w="2140" w:type="dxa"/>
            <w:tcBorders>
              <w:top w:val="nil"/>
              <w:left w:val="nil"/>
              <w:bottom w:val="single" w:sz="4" w:space="0" w:color="auto"/>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single" w:sz="4" w:space="0" w:color="auto"/>
              <w:bottom w:val="single" w:sz="4" w:space="0" w:color="auto"/>
              <w:right w:val="single" w:sz="4" w:space="0" w:color="auto"/>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4.1.1</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Tilpums: 10 ml</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4.1.2</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Prasības flakonam: Sterils</w:t>
            </w:r>
          </w:p>
        </w:tc>
        <w:tc>
          <w:tcPr>
            <w:tcW w:w="21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4.1.3</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Piegādes biežums: Pēc pieprasījuma</w:t>
            </w:r>
          </w:p>
        </w:tc>
        <w:tc>
          <w:tcPr>
            <w:tcW w:w="2140" w:type="dxa"/>
            <w:tcBorders>
              <w:top w:val="nil"/>
              <w:left w:val="nil"/>
              <w:bottom w:val="nil"/>
              <w:right w:val="single" w:sz="4" w:space="0" w:color="auto"/>
            </w:tcBorders>
            <w:shd w:val="clear" w:color="auto" w:fill="auto"/>
            <w:vAlign w:val="center"/>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4.1.4</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Daudzums: 1200 </w:t>
            </w:r>
            <w:proofErr w:type="spellStart"/>
            <w:r w:rsidRPr="001260F6">
              <w:rPr>
                <w:color w:val="000000"/>
                <w:sz w:val="22"/>
                <w:szCs w:val="22"/>
                <w:lang w:eastAsia="lv-LV"/>
              </w:rPr>
              <w:t>gab</w:t>
            </w:r>
            <w:proofErr w:type="spellEnd"/>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260F6" w:rsidRPr="001260F6" w:rsidRDefault="001260F6" w:rsidP="001260F6">
            <w:pPr>
              <w:jc w:val="center"/>
              <w:rPr>
                <w:b/>
                <w:bCs/>
                <w:color w:val="000000"/>
                <w:sz w:val="22"/>
                <w:szCs w:val="22"/>
                <w:lang w:eastAsia="lv-LV"/>
              </w:rPr>
            </w:pPr>
            <w:r w:rsidRPr="001260F6">
              <w:rPr>
                <w:b/>
                <w:bCs/>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75"/>
        </w:trPr>
        <w:tc>
          <w:tcPr>
            <w:tcW w:w="1060" w:type="dxa"/>
            <w:tcBorders>
              <w:top w:val="nil"/>
              <w:left w:val="single" w:sz="4" w:space="0" w:color="auto"/>
              <w:bottom w:val="single" w:sz="4" w:space="0" w:color="auto"/>
              <w:right w:val="single" w:sz="4" w:space="0" w:color="auto"/>
            </w:tcBorders>
            <w:shd w:val="clear" w:color="000000" w:fill="92D050"/>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t>5.</w:t>
            </w:r>
          </w:p>
        </w:tc>
        <w:tc>
          <w:tcPr>
            <w:tcW w:w="7540" w:type="dxa"/>
            <w:tcBorders>
              <w:top w:val="nil"/>
              <w:left w:val="nil"/>
              <w:bottom w:val="single" w:sz="4" w:space="0" w:color="auto"/>
              <w:right w:val="single" w:sz="4" w:space="0" w:color="auto"/>
            </w:tcBorders>
            <w:shd w:val="clear" w:color="000000" w:fill="92D050"/>
            <w:noWrap/>
            <w:vAlign w:val="bottom"/>
            <w:hideMark/>
          </w:tcPr>
          <w:p w:rsidR="001260F6" w:rsidRPr="001260F6" w:rsidRDefault="001260F6" w:rsidP="001260F6">
            <w:pPr>
              <w:jc w:val="left"/>
              <w:rPr>
                <w:b/>
                <w:bCs/>
                <w:sz w:val="28"/>
                <w:szCs w:val="28"/>
                <w:lang w:eastAsia="lv-LV"/>
              </w:rPr>
            </w:pPr>
            <w:proofErr w:type="spellStart"/>
            <w:r w:rsidRPr="001260F6">
              <w:rPr>
                <w:b/>
                <w:bCs/>
                <w:sz w:val="28"/>
                <w:szCs w:val="28"/>
                <w:lang w:eastAsia="lv-LV"/>
              </w:rPr>
              <w:t>Tetrafosmin</w:t>
            </w:r>
            <w:proofErr w:type="spellEnd"/>
            <w:r w:rsidRPr="001260F6">
              <w:rPr>
                <w:b/>
                <w:bCs/>
                <w:sz w:val="28"/>
                <w:szCs w:val="28"/>
                <w:lang w:eastAsia="lv-LV"/>
              </w:rPr>
              <w:t xml:space="preserve">  (</w:t>
            </w:r>
            <w:proofErr w:type="spellStart"/>
            <w:r w:rsidRPr="001260F6">
              <w:rPr>
                <w:b/>
                <w:bCs/>
                <w:sz w:val="28"/>
                <w:szCs w:val="28"/>
                <w:lang w:eastAsia="lv-LV"/>
              </w:rPr>
              <w:t>Myoview</w:t>
            </w:r>
            <w:proofErr w:type="spellEnd"/>
            <w:r w:rsidRPr="001260F6">
              <w:rPr>
                <w:b/>
                <w:bCs/>
                <w:sz w:val="28"/>
                <w:szCs w:val="28"/>
                <w:lang w:eastAsia="lv-LV"/>
              </w:rPr>
              <w:t xml:space="preserve">) </w:t>
            </w:r>
          </w:p>
        </w:tc>
        <w:tc>
          <w:tcPr>
            <w:tcW w:w="3591" w:type="dxa"/>
            <w:gridSpan w:val="2"/>
            <w:tcBorders>
              <w:top w:val="single" w:sz="4" w:space="0" w:color="auto"/>
              <w:left w:val="nil"/>
              <w:bottom w:val="single" w:sz="4" w:space="0" w:color="auto"/>
              <w:right w:val="single" w:sz="4" w:space="0" w:color="000000"/>
            </w:tcBorders>
            <w:shd w:val="clear" w:color="000000" w:fill="92D050"/>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4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Daudzums (</w:t>
            </w:r>
            <w:proofErr w:type="spellStart"/>
            <w:r w:rsidRPr="001260F6">
              <w:rPr>
                <w:sz w:val="22"/>
                <w:szCs w:val="22"/>
                <w:lang w:eastAsia="lv-LV"/>
              </w:rPr>
              <w:t>gab</w:t>
            </w:r>
            <w:proofErr w:type="spellEnd"/>
            <w:r w:rsidRPr="001260F6">
              <w:rPr>
                <w:sz w:val="22"/>
                <w:szCs w:val="22"/>
                <w:lang w:eastAsia="lv-LV"/>
              </w:rPr>
              <w:t>)</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b/>
                <w:bCs/>
                <w:sz w:val="22"/>
                <w:szCs w:val="22"/>
                <w:lang w:eastAsia="lv-LV"/>
              </w:rPr>
            </w:pPr>
            <w:r w:rsidRPr="001260F6">
              <w:rPr>
                <w:b/>
                <w:bCs/>
                <w:sz w:val="22"/>
                <w:szCs w:val="22"/>
                <w:lang w:eastAsia="lv-LV"/>
              </w:rPr>
              <w:t>240</w:t>
            </w:r>
          </w:p>
        </w:tc>
      </w:tr>
      <w:tr w:rsidR="001260F6" w:rsidRPr="001260F6" w:rsidTr="001260F6">
        <w:trPr>
          <w:trHeight w:val="34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Preces ražotājs (valsts):</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sz w:val="22"/>
                <w:szCs w:val="22"/>
                <w:lang w:eastAsia="lv-LV"/>
              </w:rPr>
            </w:pPr>
            <w:r w:rsidRPr="001260F6">
              <w:rPr>
                <w:sz w:val="22"/>
                <w:szCs w:val="22"/>
                <w:lang w:eastAsia="lv-LV"/>
              </w:rPr>
              <w:t>Anglija</w:t>
            </w:r>
          </w:p>
        </w:tc>
      </w:tr>
      <w:tr w:rsidR="001260F6" w:rsidRPr="001260F6" w:rsidTr="001260F6">
        <w:trPr>
          <w:trHeight w:val="36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 xml:space="preserve">Preces modelis: </w:t>
            </w:r>
          </w:p>
        </w:tc>
        <w:tc>
          <w:tcPr>
            <w:tcW w:w="35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60F6" w:rsidRPr="001260F6" w:rsidRDefault="001260F6" w:rsidP="001260F6">
            <w:pPr>
              <w:jc w:val="center"/>
              <w:rPr>
                <w:rFonts w:ascii="Calibri" w:hAnsi="Calibri"/>
                <w:b/>
                <w:bCs/>
                <w:color w:val="000000"/>
                <w:sz w:val="22"/>
                <w:szCs w:val="22"/>
                <w:lang w:eastAsia="lv-LV"/>
              </w:rPr>
            </w:pPr>
            <w:proofErr w:type="spellStart"/>
            <w:r w:rsidRPr="001260F6">
              <w:rPr>
                <w:rFonts w:ascii="Calibri" w:hAnsi="Calibri"/>
                <w:b/>
                <w:bCs/>
                <w:color w:val="000000"/>
                <w:sz w:val="22"/>
                <w:szCs w:val="22"/>
                <w:lang w:eastAsia="lv-LV"/>
              </w:rPr>
              <w:t>Myoview</w:t>
            </w:r>
            <w:proofErr w:type="spellEnd"/>
          </w:p>
        </w:tc>
      </w:tr>
      <w:tr w:rsidR="001260F6" w:rsidRPr="001260F6" w:rsidTr="001260F6">
        <w:trPr>
          <w:trHeight w:val="300"/>
        </w:trPr>
        <w:tc>
          <w:tcPr>
            <w:tcW w:w="1060" w:type="dxa"/>
            <w:tcBorders>
              <w:top w:val="nil"/>
              <w:left w:val="nil"/>
              <w:bottom w:val="nil"/>
              <w:right w:val="nil"/>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single" w:sz="4" w:space="0" w:color="auto"/>
              <w:bottom w:val="single" w:sz="4" w:space="0" w:color="auto"/>
              <w:right w:val="nil"/>
            </w:tcBorders>
            <w:shd w:val="clear" w:color="000000" w:fill="CCFF66"/>
            <w:vAlign w:val="center"/>
            <w:hideMark/>
          </w:tcPr>
          <w:p w:rsidR="001260F6" w:rsidRPr="001260F6" w:rsidRDefault="001260F6" w:rsidP="001260F6">
            <w:pPr>
              <w:jc w:val="right"/>
              <w:rPr>
                <w:b/>
                <w:bCs/>
                <w:sz w:val="22"/>
                <w:szCs w:val="22"/>
                <w:lang w:eastAsia="lv-LV"/>
              </w:rPr>
            </w:pPr>
            <w:r w:rsidRPr="001260F6">
              <w:rPr>
                <w:b/>
                <w:bCs/>
                <w:sz w:val="22"/>
                <w:szCs w:val="22"/>
                <w:lang w:eastAsia="lv-LV"/>
              </w:rPr>
              <w:t>1 vienības cena bez PVN, EUR:</w:t>
            </w:r>
          </w:p>
        </w:tc>
        <w:tc>
          <w:tcPr>
            <w:tcW w:w="3591" w:type="dxa"/>
            <w:gridSpan w:val="2"/>
            <w:tcBorders>
              <w:top w:val="single" w:sz="4" w:space="0" w:color="auto"/>
              <w:left w:val="single" w:sz="4" w:space="0" w:color="auto"/>
              <w:bottom w:val="single" w:sz="4" w:space="0" w:color="auto"/>
              <w:right w:val="single" w:sz="4" w:space="0" w:color="000000"/>
            </w:tcBorders>
            <w:shd w:val="clear" w:color="000000" w:fill="CCFF66"/>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268.58</w:t>
            </w:r>
          </w:p>
        </w:tc>
      </w:tr>
      <w:tr w:rsidR="001260F6" w:rsidRPr="001260F6" w:rsidTr="001260F6">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Kopā bez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64459.20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sz w:val="22"/>
                <w:szCs w:val="22"/>
                <w:lang w:eastAsia="lv-LV"/>
              </w:rPr>
            </w:pPr>
            <w:r w:rsidRPr="001260F6">
              <w:rPr>
                <w:sz w:val="22"/>
                <w:szCs w:val="22"/>
                <w:lang w:eastAsia="lv-LV"/>
              </w:rPr>
              <w:t>PVN likme,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7735.10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right"/>
              <w:rPr>
                <w:color w:val="000000"/>
                <w:sz w:val="22"/>
                <w:szCs w:val="22"/>
                <w:lang w:eastAsia="lv-LV"/>
              </w:rPr>
            </w:pPr>
            <w:r w:rsidRPr="001260F6">
              <w:rPr>
                <w:color w:val="000000"/>
                <w:sz w:val="22"/>
                <w:szCs w:val="22"/>
                <w:lang w:eastAsia="lv-LV"/>
              </w:rPr>
              <w:t>Kopā ar PVN, EUR:</w:t>
            </w:r>
          </w:p>
        </w:tc>
        <w:tc>
          <w:tcPr>
            <w:tcW w:w="35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260F6" w:rsidRPr="001260F6" w:rsidRDefault="001260F6" w:rsidP="001260F6">
            <w:pPr>
              <w:jc w:val="center"/>
              <w:rPr>
                <w:rFonts w:ascii="Calibri" w:hAnsi="Calibri"/>
                <w:color w:val="000000"/>
                <w:sz w:val="22"/>
                <w:szCs w:val="22"/>
                <w:lang w:eastAsia="lv-LV"/>
              </w:rPr>
            </w:pPr>
            <w:r w:rsidRPr="001260F6">
              <w:rPr>
                <w:rFonts w:ascii="Calibri" w:hAnsi="Calibri"/>
                <w:color w:val="000000"/>
                <w:sz w:val="22"/>
                <w:szCs w:val="22"/>
                <w:lang w:eastAsia="lv-LV"/>
              </w:rPr>
              <w:t>72194.30</w:t>
            </w:r>
          </w:p>
        </w:tc>
      </w:tr>
      <w:tr w:rsidR="001260F6" w:rsidRPr="001260F6" w:rsidTr="001260F6">
        <w:trPr>
          <w:trHeight w:val="300"/>
        </w:trPr>
        <w:tc>
          <w:tcPr>
            <w:tcW w:w="1060" w:type="dxa"/>
            <w:tcBorders>
              <w:top w:val="nil"/>
              <w:left w:val="single" w:sz="4" w:space="0" w:color="auto"/>
              <w:bottom w:val="single" w:sz="4" w:space="0" w:color="auto"/>
              <w:right w:val="single" w:sz="4" w:space="0" w:color="auto"/>
            </w:tcBorders>
            <w:shd w:val="clear" w:color="000000" w:fill="CCFF66"/>
            <w:vAlign w:val="center"/>
            <w:hideMark/>
          </w:tcPr>
          <w:p w:rsidR="001260F6" w:rsidRPr="001260F6" w:rsidRDefault="001260F6" w:rsidP="001260F6">
            <w:pPr>
              <w:jc w:val="center"/>
              <w:rPr>
                <w:b/>
                <w:bCs/>
                <w:i/>
                <w:iCs/>
                <w:sz w:val="22"/>
                <w:szCs w:val="22"/>
                <w:lang w:eastAsia="lv-LV"/>
              </w:rPr>
            </w:pPr>
            <w:r w:rsidRPr="001260F6">
              <w:rPr>
                <w:b/>
                <w:bCs/>
                <w:i/>
                <w:iCs/>
                <w:sz w:val="22"/>
                <w:szCs w:val="22"/>
                <w:lang w:eastAsia="lv-LV"/>
              </w:rPr>
              <w:t>5.1.</w:t>
            </w:r>
          </w:p>
        </w:tc>
        <w:tc>
          <w:tcPr>
            <w:tcW w:w="7540" w:type="dxa"/>
            <w:tcBorders>
              <w:top w:val="nil"/>
              <w:left w:val="nil"/>
              <w:bottom w:val="single" w:sz="4" w:space="0" w:color="auto"/>
              <w:right w:val="single" w:sz="4" w:space="0" w:color="auto"/>
            </w:tcBorders>
            <w:shd w:val="clear" w:color="000000" w:fill="CCFF66"/>
            <w:vAlign w:val="center"/>
            <w:hideMark/>
          </w:tcPr>
          <w:p w:rsidR="001260F6" w:rsidRPr="001260F6" w:rsidRDefault="001260F6" w:rsidP="001260F6">
            <w:pPr>
              <w:jc w:val="left"/>
              <w:rPr>
                <w:b/>
                <w:bCs/>
                <w:i/>
                <w:iCs/>
                <w:color w:val="000000"/>
                <w:sz w:val="22"/>
                <w:szCs w:val="22"/>
                <w:lang w:eastAsia="lv-LV"/>
              </w:rPr>
            </w:pPr>
            <w:r w:rsidRPr="001260F6">
              <w:rPr>
                <w:b/>
                <w:bCs/>
                <w:i/>
                <w:iCs/>
                <w:color w:val="000000"/>
                <w:sz w:val="22"/>
                <w:szCs w:val="22"/>
                <w:lang w:eastAsia="lv-LV"/>
              </w:rPr>
              <w:t>Tehniskās prasības</w:t>
            </w:r>
          </w:p>
        </w:tc>
        <w:tc>
          <w:tcPr>
            <w:tcW w:w="2140" w:type="dxa"/>
            <w:tcBorders>
              <w:top w:val="nil"/>
              <w:left w:val="nil"/>
              <w:bottom w:val="single" w:sz="4" w:space="0" w:color="auto"/>
              <w:right w:val="single" w:sz="4" w:space="0" w:color="auto"/>
            </w:tcBorders>
            <w:shd w:val="clear" w:color="000000" w:fill="CCFF66"/>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000000" w:fill="CCFF66"/>
            <w:vAlign w:val="center"/>
            <w:hideMark/>
          </w:tcPr>
          <w:p w:rsidR="001260F6" w:rsidRPr="001260F6" w:rsidRDefault="001260F6" w:rsidP="001260F6">
            <w:pPr>
              <w:jc w:val="center"/>
              <w:rPr>
                <w:b/>
                <w:bCs/>
                <w:sz w:val="22"/>
                <w:szCs w:val="22"/>
                <w:lang w:eastAsia="lv-LV"/>
              </w:rPr>
            </w:pPr>
            <w:r w:rsidRPr="001260F6">
              <w:rPr>
                <w:b/>
                <w:bCs/>
                <w:sz w:val="22"/>
                <w:szCs w:val="22"/>
                <w:lang w:eastAsia="lv-LV"/>
              </w:rPr>
              <w:t> </w:t>
            </w:r>
          </w:p>
        </w:tc>
      </w:tr>
      <w:tr w:rsidR="001260F6" w:rsidRPr="001260F6" w:rsidTr="001260F6">
        <w:trPr>
          <w:trHeight w:val="600"/>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5.1.1</w:t>
            </w:r>
          </w:p>
        </w:tc>
        <w:tc>
          <w:tcPr>
            <w:tcW w:w="7540" w:type="dxa"/>
            <w:tcBorders>
              <w:top w:val="nil"/>
              <w:left w:val="nil"/>
              <w:bottom w:val="single" w:sz="4" w:space="0" w:color="auto"/>
              <w:right w:val="single" w:sz="4" w:space="0" w:color="auto"/>
            </w:tcBorders>
            <w:shd w:val="clear" w:color="auto" w:fill="auto"/>
            <w:vAlign w:val="bottom"/>
            <w:hideMark/>
          </w:tcPr>
          <w:p w:rsidR="001260F6" w:rsidRPr="001260F6" w:rsidRDefault="001260F6" w:rsidP="001260F6">
            <w:pPr>
              <w:jc w:val="left"/>
              <w:rPr>
                <w:color w:val="000000"/>
                <w:sz w:val="22"/>
                <w:szCs w:val="22"/>
                <w:lang w:eastAsia="lv-LV"/>
              </w:rPr>
            </w:pPr>
            <w:r w:rsidRPr="001260F6">
              <w:rPr>
                <w:color w:val="000000"/>
                <w:sz w:val="22"/>
                <w:szCs w:val="22"/>
                <w:lang w:eastAsia="lv-LV"/>
              </w:rPr>
              <w:t>Pulveris (</w:t>
            </w:r>
            <w:proofErr w:type="spellStart"/>
            <w:r w:rsidRPr="001260F6">
              <w:rPr>
                <w:color w:val="000000"/>
                <w:sz w:val="22"/>
                <w:szCs w:val="22"/>
                <w:lang w:eastAsia="lv-LV"/>
              </w:rPr>
              <w:t>KITs</w:t>
            </w:r>
            <w:proofErr w:type="spellEnd"/>
            <w:r w:rsidRPr="001260F6">
              <w:rPr>
                <w:color w:val="000000"/>
                <w:sz w:val="22"/>
                <w:szCs w:val="22"/>
                <w:lang w:eastAsia="lv-LV"/>
              </w:rPr>
              <w:t xml:space="preserve"> miokarda, </w:t>
            </w:r>
            <w:proofErr w:type="spellStart"/>
            <w:r w:rsidRPr="001260F6">
              <w:rPr>
                <w:color w:val="000000"/>
                <w:sz w:val="22"/>
                <w:szCs w:val="22"/>
                <w:lang w:eastAsia="lv-LV"/>
              </w:rPr>
              <w:t>epitēlķermenīšu</w:t>
            </w:r>
            <w:proofErr w:type="spellEnd"/>
            <w:r w:rsidRPr="001260F6">
              <w:rPr>
                <w:color w:val="000000"/>
                <w:sz w:val="22"/>
                <w:szCs w:val="22"/>
                <w:lang w:eastAsia="lv-LV"/>
              </w:rPr>
              <w:t xml:space="preserve"> </w:t>
            </w:r>
            <w:proofErr w:type="spellStart"/>
            <w:r w:rsidRPr="001260F6">
              <w:rPr>
                <w:color w:val="000000"/>
                <w:sz w:val="22"/>
                <w:szCs w:val="22"/>
                <w:lang w:eastAsia="lv-LV"/>
              </w:rPr>
              <w:t>scintigrāfijas</w:t>
            </w:r>
            <w:proofErr w:type="spellEnd"/>
            <w:r w:rsidRPr="001260F6">
              <w:rPr>
                <w:color w:val="000000"/>
                <w:sz w:val="22"/>
                <w:szCs w:val="22"/>
                <w:lang w:eastAsia="lv-LV"/>
              </w:rPr>
              <w:t xml:space="preserve"> izmeklējuma </w:t>
            </w:r>
            <w:proofErr w:type="spellStart"/>
            <w:r w:rsidRPr="001260F6">
              <w:rPr>
                <w:color w:val="000000"/>
                <w:sz w:val="22"/>
                <w:szCs w:val="22"/>
                <w:lang w:eastAsia="lv-LV"/>
              </w:rPr>
              <w:t>radiofarmpreparātu</w:t>
            </w:r>
            <w:proofErr w:type="spellEnd"/>
            <w:r w:rsidRPr="001260F6">
              <w:rPr>
                <w:color w:val="000000"/>
                <w:sz w:val="22"/>
                <w:szCs w:val="22"/>
                <w:lang w:eastAsia="lv-LV"/>
              </w:rPr>
              <w:t xml:space="preserve"> pagatavošanai)</w:t>
            </w:r>
          </w:p>
        </w:tc>
        <w:tc>
          <w:tcPr>
            <w:tcW w:w="2140" w:type="dxa"/>
            <w:tcBorders>
              <w:top w:val="nil"/>
              <w:left w:val="nil"/>
              <w:bottom w:val="single" w:sz="4" w:space="0" w:color="auto"/>
              <w:right w:val="single" w:sz="4" w:space="0" w:color="auto"/>
            </w:tcBorders>
            <w:shd w:val="clear" w:color="000000" w:fill="FFFFFF"/>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000000" w:fill="FFFFFF"/>
            <w:vAlign w:val="center"/>
            <w:hideMark/>
          </w:tcPr>
          <w:p w:rsidR="001260F6" w:rsidRPr="001260F6" w:rsidRDefault="001260F6" w:rsidP="001260F6">
            <w:pPr>
              <w:jc w:val="center"/>
              <w:rPr>
                <w:b/>
                <w:bCs/>
                <w:sz w:val="22"/>
                <w:szCs w:val="22"/>
                <w:lang w:eastAsia="lv-LV"/>
              </w:rPr>
            </w:pPr>
            <w:r w:rsidRPr="001260F6">
              <w:rPr>
                <w:b/>
                <w:bCs/>
                <w:sz w:val="22"/>
                <w:szCs w:val="22"/>
                <w:lang w:eastAsia="lv-LV"/>
              </w:rPr>
              <w:t> </w:t>
            </w:r>
          </w:p>
        </w:tc>
      </w:tr>
      <w:tr w:rsidR="001260F6" w:rsidRPr="001260F6" w:rsidTr="001260F6">
        <w:trPr>
          <w:trHeight w:val="60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260F6" w:rsidRPr="001260F6" w:rsidRDefault="001260F6" w:rsidP="001260F6">
            <w:pPr>
              <w:jc w:val="center"/>
              <w:rPr>
                <w:sz w:val="22"/>
                <w:szCs w:val="22"/>
                <w:lang w:eastAsia="lv-LV"/>
              </w:rPr>
            </w:pPr>
            <w:r w:rsidRPr="001260F6">
              <w:rPr>
                <w:sz w:val="22"/>
                <w:szCs w:val="22"/>
                <w:lang w:eastAsia="lv-LV"/>
              </w:rPr>
              <w:t>5.1.2</w:t>
            </w:r>
          </w:p>
        </w:tc>
        <w:tc>
          <w:tcPr>
            <w:tcW w:w="7540" w:type="dxa"/>
            <w:tcBorders>
              <w:top w:val="nil"/>
              <w:left w:val="nil"/>
              <w:bottom w:val="single" w:sz="4" w:space="0" w:color="auto"/>
              <w:right w:val="single" w:sz="4" w:space="0" w:color="auto"/>
            </w:tcBorders>
            <w:shd w:val="clear" w:color="auto" w:fill="auto"/>
            <w:vAlign w:val="bottom"/>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Tiek iezīmēts ar 550-600 </w:t>
            </w:r>
            <w:proofErr w:type="spellStart"/>
            <w:r w:rsidRPr="001260F6">
              <w:rPr>
                <w:color w:val="000000"/>
                <w:sz w:val="22"/>
                <w:szCs w:val="22"/>
                <w:lang w:eastAsia="lv-LV"/>
              </w:rPr>
              <w:t>MBq</w:t>
            </w:r>
            <w:proofErr w:type="spellEnd"/>
            <w:r w:rsidRPr="001260F6">
              <w:rPr>
                <w:color w:val="000000"/>
                <w:sz w:val="22"/>
                <w:szCs w:val="22"/>
                <w:lang w:eastAsia="lv-LV"/>
              </w:rPr>
              <w:t xml:space="preserve"> 99m-Tc miokarda </w:t>
            </w:r>
            <w:proofErr w:type="spellStart"/>
            <w:r w:rsidRPr="001260F6">
              <w:rPr>
                <w:color w:val="000000"/>
                <w:sz w:val="22"/>
                <w:szCs w:val="22"/>
                <w:lang w:eastAsia="lv-LV"/>
              </w:rPr>
              <w:t>perfūzijas</w:t>
            </w:r>
            <w:proofErr w:type="spellEnd"/>
            <w:r w:rsidRPr="001260F6">
              <w:rPr>
                <w:color w:val="000000"/>
                <w:sz w:val="22"/>
                <w:szCs w:val="22"/>
                <w:lang w:eastAsia="lv-LV"/>
              </w:rPr>
              <w:t xml:space="preserve"> vai </w:t>
            </w:r>
            <w:proofErr w:type="spellStart"/>
            <w:r w:rsidRPr="001260F6">
              <w:rPr>
                <w:color w:val="000000"/>
                <w:sz w:val="22"/>
                <w:szCs w:val="22"/>
                <w:lang w:eastAsia="lv-LV"/>
              </w:rPr>
              <w:t>epitēlijķermenīšu</w:t>
            </w:r>
            <w:proofErr w:type="spellEnd"/>
            <w:r w:rsidRPr="001260F6">
              <w:rPr>
                <w:color w:val="000000"/>
                <w:sz w:val="22"/>
                <w:szCs w:val="22"/>
                <w:lang w:eastAsia="lv-LV"/>
              </w:rPr>
              <w:t xml:space="preserve"> </w:t>
            </w:r>
            <w:proofErr w:type="spellStart"/>
            <w:r w:rsidRPr="001260F6">
              <w:rPr>
                <w:color w:val="000000"/>
                <w:sz w:val="22"/>
                <w:szCs w:val="22"/>
                <w:lang w:eastAsia="lv-LV"/>
              </w:rPr>
              <w:t>scintigrāfijai</w:t>
            </w:r>
            <w:proofErr w:type="spellEnd"/>
            <w:r w:rsidRPr="001260F6">
              <w:rPr>
                <w:color w:val="000000"/>
                <w:sz w:val="22"/>
                <w:szCs w:val="22"/>
                <w:lang w:eastAsia="lv-LV"/>
              </w:rPr>
              <w:t>.</w:t>
            </w:r>
          </w:p>
        </w:tc>
        <w:tc>
          <w:tcPr>
            <w:tcW w:w="2140"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single" w:sz="4" w:space="0" w:color="auto"/>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15"/>
        </w:trPr>
        <w:tc>
          <w:tcPr>
            <w:tcW w:w="1060" w:type="dxa"/>
            <w:tcBorders>
              <w:top w:val="nil"/>
              <w:left w:val="single" w:sz="4" w:space="0" w:color="auto"/>
              <w:bottom w:val="single" w:sz="4" w:space="0" w:color="auto"/>
              <w:right w:val="single" w:sz="4" w:space="0" w:color="auto"/>
            </w:tcBorders>
            <w:shd w:val="clear" w:color="auto" w:fill="auto"/>
            <w:hideMark/>
          </w:tcPr>
          <w:p w:rsidR="001260F6" w:rsidRPr="001260F6" w:rsidRDefault="001260F6" w:rsidP="001260F6">
            <w:pPr>
              <w:jc w:val="center"/>
              <w:rPr>
                <w:sz w:val="22"/>
                <w:szCs w:val="22"/>
                <w:lang w:eastAsia="lv-LV"/>
              </w:rPr>
            </w:pPr>
            <w:r w:rsidRPr="001260F6">
              <w:rPr>
                <w:sz w:val="22"/>
                <w:szCs w:val="22"/>
                <w:lang w:eastAsia="lv-LV"/>
              </w:rPr>
              <w:t>5.1.3</w:t>
            </w:r>
          </w:p>
        </w:tc>
        <w:tc>
          <w:tcPr>
            <w:tcW w:w="7540" w:type="dxa"/>
            <w:tcBorders>
              <w:top w:val="nil"/>
              <w:left w:val="nil"/>
              <w:bottom w:val="single" w:sz="4" w:space="0" w:color="auto"/>
              <w:right w:val="single" w:sz="4" w:space="0" w:color="auto"/>
            </w:tcBorders>
            <w:shd w:val="clear" w:color="auto" w:fill="auto"/>
            <w:vAlign w:val="center"/>
            <w:hideMark/>
          </w:tcPr>
          <w:p w:rsidR="001260F6" w:rsidRPr="001260F6" w:rsidRDefault="001260F6" w:rsidP="001260F6">
            <w:pPr>
              <w:jc w:val="left"/>
              <w:rPr>
                <w:color w:val="000000"/>
                <w:sz w:val="22"/>
                <w:szCs w:val="22"/>
                <w:lang w:eastAsia="lv-LV"/>
              </w:rPr>
            </w:pPr>
            <w:r w:rsidRPr="001260F6">
              <w:rPr>
                <w:color w:val="000000"/>
                <w:sz w:val="22"/>
                <w:szCs w:val="22"/>
                <w:lang w:eastAsia="lv-LV"/>
              </w:rPr>
              <w:t xml:space="preserve">Daudzums: 240 </w:t>
            </w:r>
            <w:proofErr w:type="spellStart"/>
            <w:r w:rsidRPr="001260F6">
              <w:rPr>
                <w:color w:val="000000"/>
                <w:sz w:val="22"/>
                <w:szCs w:val="22"/>
                <w:lang w:eastAsia="lv-LV"/>
              </w:rPr>
              <w:t>gab</w:t>
            </w:r>
            <w:proofErr w:type="spellEnd"/>
          </w:p>
        </w:tc>
        <w:tc>
          <w:tcPr>
            <w:tcW w:w="2140" w:type="dxa"/>
            <w:tcBorders>
              <w:top w:val="nil"/>
              <w:left w:val="nil"/>
              <w:bottom w:val="nil"/>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c>
          <w:tcPr>
            <w:tcW w:w="1451" w:type="dxa"/>
            <w:tcBorders>
              <w:top w:val="nil"/>
              <w:left w:val="nil"/>
              <w:bottom w:val="nil"/>
              <w:right w:val="single" w:sz="4" w:space="0" w:color="auto"/>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r w:rsidRPr="001260F6">
              <w:rPr>
                <w:rFonts w:ascii="Calibri" w:hAnsi="Calibri"/>
                <w:color w:val="000000"/>
                <w:sz w:val="22"/>
                <w:szCs w:val="22"/>
                <w:lang w:eastAsia="lv-LV"/>
              </w:rPr>
              <w:t> </w:t>
            </w:r>
          </w:p>
        </w:tc>
      </w:tr>
      <w:tr w:rsidR="001260F6" w:rsidRPr="001260F6" w:rsidTr="001260F6">
        <w:trPr>
          <w:trHeight w:val="330"/>
        </w:trPr>
        <w:tc>
          <w:tcPr>
            <w:tcW w:w="1060" w:type="dxa"/>
            <w:tcBorders>
              <w:top w:val="nil"/>
              <w:left w:val="nil"/>
              <w:bottom w:val="nil"/>
              <w:right w:val="nil"/>
            </w:tcBorders>
            <w:shd w:val="clear" w:color="auto" w:fill="auto"/>
            <w:noWrap/>
            <w:vAlign w:val="bottom"/>
            <w:hideMark/>
          </w:tcPr>
          <w:p w:rsidR="001260F6" w:rsidRPr="001260F6" w:rsidRDefault="001260F6" w:rsidP="001260F6">
            <w:pPr>
              <w:jc w:val="left"/>
              <w:rPr>
                <w:rFonts w:ascii="Calibri" w:hAnsi="Calibri"/>
                <w:color w:val="000000"/>
                <w:sz w:val="22"/>
                <w:szCs w:val="22"/>
                <w:lang w:eastAsia="lv-LV"/>
              </w:rPr>
            </w:pPr>
          </w:p>
        </w:tc>
        <w:tc>
          <w:tcPr>
            <w:tcW w:w="7540" w:type="dxa"/>
            <w:tcBorders>
              <w:top w:val="nil"/>
              <w:left w:val="nil"/>
              <w:bottom w:val="nil"/>
              <w:right w:val="nil"/>
            </w:tcBorders>
            <w:shd w:val="clear" w:color="000000" w:fill="FFFFFF"/>
            <w:vAlign w:val="center"/>
            <w:hideMark/>
          </w:tcPr>
          <w:p w:rsidR="001260F6" w:rsidRPr="001260F6" w:rsidRDefault="001260F6" w:rsidP="001260F6">
            <w:pPr>
              <w:jc w:val="right"/>
              <w:rPr>
                <w:b/>
                <w:bCs/>
                <w:color w:val="000000"/>
                <w:sz w:val="22"/>
                <w:szCs w:val="22"/>
                <w:lang w:eastAsia="lv-LV"/>
              </w:rPr>
            </w:pPr>
            <w:r w:rsidRPr="001260F6">
              <w:rPr>
                <w:b/>
                <w:bCs/>
                <w:color w:val="000000"/>
                <w:sz w:val="22"/>
                <w:szCs w:val="22"/>
                <w:lang w:eastAsia="lv-LV"/>
              </w:rPr>
              <w:t>Kopējā summa bez PVN</w:t>
            </w:r>
          </w:p>
        </w:tc>
        <w:tc>
          <w:tcPr>
            <w:tcW w:w="3591" w:type="dxa"/>
            <w:gridSpan w:val="2"/>
            <w:tcBorders>
              <w:top w:val="double" w:sz="6" w:space="0" w:color="auto"/>
              <w:left w:val="double" w:sz="6" w:space="0" w:color="auto"/>
              <w:bottom w:val="double" w:sz="6" w:space="0" w:color="auto"/>
              <w:right w:val="double" w:sz="6" w:space="0" w:color="000000"/>
            </w:tcBorders>
            <w:shd w:val="clear" w:color="000000" w:fill="92D050"/>
            <w:noWrap/>
            <w:vAlign w:val="bottom"/>
            <w:hideMark/>
          </w:tcPr>
          <w:p w:rsidR="001260F6" w:rsidRPr="001260F6" w:rsidRDefault="001260F6" w:rsidP="001260F6">
            <w:pPr>
              <w:jc w:val="center"/>
              <w:rPr>
                <w:rFonts w:ascii="Calibri" w:hAnsi="Calibri"/>
                <w:b/>
                <w:bCs/>
                <w:color w:val="000000"/>
                <w:sz w:val="22"/>
                <w:szCs w:val="22"/>
                <w:lang w:eastAsia="lv-LV"/>
              </w:rPr>
            </w:pPr>
            <w:r w:rsidRPr="001260F6">
              <w:rPr>
                <w:rFonts w:ascii="Calibri" w:hAnsi="Calibri"/>
                <w:b/>
                <w:bCs/>
                <w:color w:val="000000"/>
                <w:sz w:val="22"/>
                <w:szCs w:val="22"/>
                <w:lang w:eastAsia="lv-LV"/>
              </w:rPr>
              <w:t>333229.20</w:t>
            </w:r>
          </w:p>
        </w:tc>
      </w:tr>
      <w:tr w:rsidR="001260F6" w:rsidRPr="001260F6" w:rsidTr="001260F6">
        <w:trPr>
          <w:trHeight w:val="330"/>
        </w:trPr>
        <w:tc>
          <w:tcPr>
            <w:tcW w:w="1060" w:type="dxa"/>
            <w:tcBorders>
              <w:top w:val="nil"/>
              <w:left w:val="nil"/>
              <w:bottom w:val="nil"/>
              <w:right w:val="nil"/>
            </w:tcBorders>
            <w:shd w:val="clear" w:color="auto" w:fill="auto"/>
            <w:noWrap/>
            <w:vAlign w:val="bottom"/>
            <w:hideMark/>
          </w:tcPr>
          <w:p w:rsidR="001260F6" w:rsidRPr="001260F6" w:rsidRDefault="001260F6" w:rsidP="001260F6">
            <w:pPr>
              <w:jc w:val="center"/>
              <w:rPr>
                <w:rFonts w:ascii="Calibri" w:hAnsi="Calibri"/>
                <w:b/>
                <w:bCs/>
                <w:color w:val="000000"/>
                <w:sz w:val="22"/>
                <w:szCs w:val="22"/>
                <w:lang w:eastAsia="lv-LV"/>
              </w:rPr>
            </w:pPr>
          </w:p>
        </w:tc>
        <w:tc>
          <w:tcPr>
            <w:tcW w:w="7540" w:type="dxa"/>
            <w:tcBorders>
              <w:top w:val="nil"/>
              <w:left w:val="nil"/>
              <w:bottom w:val="nil"/>
              <w:right w:val="nil"/>
            </w:tcBorders>
            <w:shd w:val="clear" w:color="000000" w:fill="FFFFFF"/>
            <w:noWrap/>
            <w:vAlign w:val="center"/>
            <w:hideMark/>
          </w:tcPr>
          <w:p w:rsidR="001260F6" w:rsidRPr="001260F6" w:rsidRDefault="001260F6" w:rsidP="001260F6">
            <w:pPr>
              <w:jc w:val="right"/>
              <w:rPr>
                <w:b/>
                <w:bCs/>
                <w:color w:val="000000"/>
                <w:sz w:val="22"/>
                <w:szCs w:val="22"/>
                <w:lang w:eastAsia="lv-LV"/>
              </w:rPr>
            </w:pPr>
            <w:r w:rsidRPr="001260F6">
              <w:rPr>
                <w:b/>
                <w:bCs/>
                <w:color w:val="000000"/>
                <w:sz w:val="22"/>
                <w:szCs w:val="22"/>
                <w:lang w:eastAsia="lv-LV"/>
              </w:rPr>
              <w:t>PVN likme</w:t>
            </w:r>
          </w:p>
        </w:tc>
        <w:tc>
          <w:tcPr>
            <w:tcW w:w="3591" w:type="dxa"/>
            <w:gridSpan w:val="2"/>
            <w:tcBorders>
              <w:top w:val="double" w:sz="6" w:space="0" w:color="auto"/>
              <w:left w:val="double" w:sz="6" w:space="0" w:color="auto"/>
              <w:bottom w:val="double" w:sz="6" w:space="0" w:color="auto"/>
              <w:right w:val="double" w:sz="6" w:space="0" w:color="000000"/>
            </w:tcBorders>
            <w:shd w:val="clear" w:color="000000" w:fill="92D050"/>
            <w:noWrap/>
            <w:vAlign w:val="bottom"/>
            <w:hideMark/>
          </w:tcPr>
          <w:p w:rsidR="001260F6" w:rsidRPr="001260F6" w:rsidRDefault="001260F6" w:rsidP="001260F6">
            <w:pPr>
              <w:jc w:val="center"/>
              <w:rPr>
                <w:rFonts w:ascii="Calibri" w:hAnsi="Calibri"/>
                <w:b/>
                <w:bCs/>
                <w:color w:val="000000"/>
                <w:sz w:val="22"/>
                <w:szCs w:val="22"/>
                <w:lang w:eastAsia="lv-LV"/>
              </w:rPr>
            </w:pPr>
            <w:r w:rsidRPr="001260F6">
              <w:rPr>
                <w:rFonts w:ascii="Calibri" w:hAnsi="Calibri"/>
                <w:b/>
                <w:bCs/>
                <w:color w:val="000000"/>
                <w:sz w:val="22"/>
                <w:szCs w:val="22"/>
                <w:lang w:eastAsia="lv-LV"/>
              </w:rPr>
              <w:t>39987.50</w:t>
            </w:r>
          </w:p>
        </w:tc>
      </w:tr>
      <w:tr w:rsidR="001260F6" w:rsidRPr="001260F6" w:rsidTr="001260F6">
        <w:trPr>
          <w:trHeight w:val="330"/>
        </w:trPr>
        <w:tc>
          <w:tcPr>
            <w:tcW w:w="1060" w:type="dxa"/>
            <w:tcBorders>
              <w:top w:val="nil"/>
              <w:left w:val="nil"/>
              <w:bottom w:val="nil"/>
              <w:right w:val="nil"/>
            </w:tcBorders>
            <w:shd w:val="clear" w:color="auto" w:fill="auto"/>
            <w:noWrap/>
            <w:vAlign w:val="bottom"/>
            <w:hideMark/>
          </w:tcPr>
          <w:p w:rsidR="001260F6" w:rsidRPr="001260F6" w:rsidRDefault="001260F6" w:rsidP="001260F6">
            <w:pPr>
              <w:jc w:val="center"/>
              <w:rPr>
                <w:rFonts w:ascii="Calibri" w:hAnsi="Calibri"/>
                <w:b/>
                <w:bCs/>
                <w:color w:val="000000"/>
                <w:sz w:val="22"/>
                <w:szCs w:val="22"/>
                <w:lang w:eastAsia="lv-LV"/>
              </w:rPr>
            </w:pPr>
          </w:p>
        </w:tc>
        <w:tc>
          <w:tcPr>
            <w:tcW w:w="7540" w:type="dxa"/>
            <w:tcBorders>
              <w:top w:val="nil"/>
              <w:left w:val="nil"/>
              <w:bottom w:val="nil"/>
              <w:right w:val="nil"/>
            </w:tcBorders>
            <w:shd w:val="clear" w:color="000000" w:fill="FFFFFF"/>
            <w:noWrap/>
            <w:vAlign w:val="bottom"/>
            <w:hideMark/>
          </w:tcPr>
          <w:p w:rsidR="001260F6" w:rsidRPr="001260F6" w:rsidRDefault="001260F6" w:rsidP="001260F6">
            <w:pPr>
              <w:jc w:val="right"/>
              <w:rPr>
                <w:b/>
                <w:bCs/>
                <w:color w:val="000000"/>
                <w:sz w:val="22"/>
                <w:szCs w:val="22"/>
                <w:lang w:eastAsia="lv-LV"/>
              </w:rPr>
            </w:pPr>
            <w:r w:rsidRPr="001260F6">
              <w:rPr>
                <w:b/>
                <w:bCs/>
                <w:color w:val="000000"/>
                <w:sz w:val="22"/>
                <w:szCs w:val="22"/>
                <w:lang w:eastAsia="lv-LV"/>
              </w:rPr>
              <w:t>Kopējā summa ar PVN</w:t>
            </w:r>
          </w:p>
        </w:tc>
        <w:tc>
          <w:tcPr>
            <w:tcW w:w="3591" w:type="dxa"/>
            <w:gridSpan w:val="2"/>
            <w:tcBorders>
              <w:top w:val="double" w:sz="6" w:space="0" w:color="auto"/>
              <w:left w:val="double" w:sz="6" w:space="0" w:color="auto"/>
              <w:bottom w:val="double" w:sz="6" w:space="0" w:color="auto"/>
              <w:right w:val="double" w:sz="6" w:space="0" w:color="000000"/>
            </w:tcBorders>
            <w:shd w:val="clear" w:color="000000" w:fill="92D050"/>
            <w:noWrap/>
            <w:vAlign w:val="bottom"/>
            <w:hideMark/>
          </w:tcPr>
          <w:p w:rsidR="001260F6" w:rsidRPr="001260F6" w:rsidRDefault="001260F6" w:rsidP="001260F6">
            <w:pPr>
              <w:jc w:val="center"/>
              <w:rPr>
                <w:rFonts w:ascii="Calibri" w:hAnsi="Calibri"/>
                <w:b/>
                <w:bCs/>
                <w:color w:val="000000"/>
                <w:sz w:val="22"/>
                <w:szCs w:val="22"/>
                <w:lang w:eastAsia="lv-LV"/>
              </w:rPr>
            </w:pPr>
            <w:r w:rsidRPr="001260F6">
              <w:rPr>
                <w:rFonts w:ascii="Calibri" w:hAnsi="Calibri"/>
                <w:b/>
                <w:bCs/>
                <w:color w:val="000000"/>
                <w:sz w:val="22"/>
                <w:szCs w:val="22"/>
                <w:lang w:eastAsia="lv-LV"/>
              </w:rPr>
              <w:t>373216.704</w:t>
            </w:r>
          </w:p>
        </w:tc>
      </w:tr>
    </w:tbl>
    <w:p w:rsidR="001260F6" w:rsidRDefault="001260F6" w:rsidP="001260F6">
      <w:pPr>
        <w:jc w:val="right"/>
      </w:pPr>
    </w:p>
    <w:sectPr w:rsidR="001260F6" w:rsidSect="001260F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0F6" w:rsidRDefault="001260F6" w:rsidP="001260F6">
      <w:r>
        <w:separator/>
      </w:r>
    </w:p>
  </w:endnote>
  <w:endnote w:type="continuationSeparator" w:id="0">
    <w:p w:rsidR="001260F6" w:rsidRDefault="001260F6" w:rsidP="0012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198152"/>
      <w:docPartObj>
        <w:docPartGallery w:val="Page Numbers (Bottom of Page)"/>
        <w:docPartUnique/>
      </w:docPartObj>
    </w:sdtPr>
    <w:sdtEndPr>
      <w:rPr>
        <w:noProof/>
      </w:rPr>
    </w:sdtEndPr>
    <w:sdtContent>
      <w:p w:rsidR="001260F6" w:rsidRDefault="001260F6">
        <w:pPr>
          <w:pStyle w:val="Footer"/>
          <w:jc w:val="center"/>
        </w:pPr>
        <w:r>
          <w:fldChar w:fldCharType="begin"/>
        </w:r>
        <w:r>
          <w:instrText xml:space="preserve"> PAGE   \* MERGEFORMAT </w:instrText>
        </w:r>
        <w:r>
          <w:fldChar w:fldCharType="separate"/>
        </w:r>
        <w:r w:rsidR="003A33A3">
          <w:rPr>
            <w:noProof/>
          </w:rPr>
          <w:t>8</w:t>
        </w:r>
        <w:r>
          <w:rPr>
            <w:noProof/>
          </w:rPr>
          <w:fldChar w:fldCharType="end"/>
        </w:r>
      </w:p>
    </w:sdtContent>
  </w:sdt>
  <w:p w:rsidR="001260F6" w:rsidRDefault="00126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0F6" w:rsidRDefault="001260F6" w:rsidP="001260F6">
      <w:r>
        <w:separator/>
      </w:r>
    </w:p>
  </w:footnote>
  <w:footnote w:type="continuationSeparator" w:id="0">
    <w:p w:rsidR="001260F6" w:rsidRDefault="001260F6" w:rsidP="0012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CAB"/>
    <w:multiLevelType w:val="multilevel"/>
    <w:tmpl w:val="735AAD1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612"/>
        </w:tabs>
        <w:ind w:left="61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E4C59A3"/>
    <w:multiLevelType w:val="multilevel"/>
    <w:tmpl w:val="DDF6BBE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color w:val="000000"/>
        <w:sz w:val="24"/>
        <w:szCs w:val="24"/>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61"/>
    <w:rsid w:val="000757A5"/>
    <w:rsid w:val="001260F6"/>
    <w:rsid w:val="002D5AD8"/>
    <w:rsid w:val="003A33A3"/>
    <w:rsid w:val="00465A66"/>
    <w:rsid w:val="00535BB9"/>
    <w:rsid w:val="007C50BC"/>
    <w:rsid w:val="00857261"/>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3340"/>
  <w15:chartTrackingRefBased/>
  <w15:docId w15:val="{C93E73B7-B799-43C2-9459-AFCE5A05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26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
    <w:basedOn w:val="Normal"/>
    <w:link w:val="ListParagraphChar"/>
    <w:uiPriority w:val="34"/>
    <w:qFormat/>
    <w:rsid w:val="00857261"/>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
    <w:link w:val="ListParagraph"/>
    <w:uiPriority w:val="34"/>
    <w:rsid w:val="00857261"/>
    <w:rPr>
      <w:rFonts w:ascii="Calibri" w:eastAsia="Calibri" w:hAnsi="Calibri" w:cs="Times New Roman"/>
    </w:rPr>
  </w:style>
  <w:style w:type="paragraph" w:styleId="Header">
    <w:name w:val="header"/>
    <w:basedOn w:val="Normal"/>
    <w:link w:val="HeaderChar"/>
    <w:uiPriority w:val="99"/>
    <w:unhideWhenUsed/>
    <w:rsid w:val="001260F6"/>
    <w:pPr>
      <w:tabs>
        <w:tab w:val="center" w:pos="4153"/>
        <w:tab w:val="right" w:pos="8306"/>
      </w:tabs>
    </w:pPr>
  </w:style>
  <w:style w:type="character" w:customStyle="1" w:styleId="HeaderChar">
    <w:name w:val="Header Char"/>
    <w:basedOn w:val="DefaultParagraphFont"/>
    <w:link w:val="Header"/>
    <w:uiPriority w:val="99"/>
    <w:rsid w:val="001260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60F6"/>
    <w:pPr>
      <w:tabs>
        <w:tab w:val="center" w:pos="4153"/>
        <w:tab w:val="right" w:pos="8306"/>
      </w:tabs>
    </w:pPr>
  </w:style>
  <w:style w:type="character" w:customStyle="1" w:styleId="FooterChar">
    <w:name w:val="Footer Char"/>
    <w:basedOn w:val="DefaultParagraphFont"/>
    <w:link w:val="Footer"/>
    <w:uiPriority w:val="99"/>
    <w:rsid w:val="001260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30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9338</Words>
  <Characters>5324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2018-01-24T14:25:00Z</dcterms:created>
  <dcterms:modified xsi:type="dcterms:W3CDTF">2018-01-24T14:54:00Z</dcterms:modified>
</cp:coreProperties>
</file>