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p>
    <w:p>
      <w:pPr>
        <w:jc w:val="center"/>
        <w:rPr>
          <w:b/>
          <w:i/>
        </w:rPr>
      </w:pPr>
      <w:r>
        <w:rPr>
          <w:b/>
        </w:rPr>
        <w:t>VISPĀRĪGĀ VIENOŠANĀS</w:t>
      </w:r>
    </w:p>
    <w:p>
      <w:pPr>
        <w:jc w:val="center"/>
        <w:rPr>
          <w:b/>
        </w:rPr>
      </w:pPr>
      <w:r>
        <w:rPr>
          <w:b/>
        </w:rPr>
        <w:t xml:space="preserve">par medicīnas preces personāla individuālās aizsardzības nodrošināšanai </w:t>
      </w:r>
    </w:p>
    <w:p>
      <w:pPr>
        <w:jc w:val="center"/>
        <w:rPr>
          <w:b/>
        </w:rPr>
      </w:pPr>
    </w:p>
    <w:p>
      <w:pPr>
        <w:tabs>
          <w:tab w:val="right" w:pos="9637"/>
        </w:tabs>
        <w:spacing w:before="240" w:after="120"/>
      </w:pPr>
      <w:r>
        <w:t>Rīgā</w:t>
      </w:r>
      <w:r>
        <w:tab/>
      </w:r>
    </w:p>
    <w:p>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pPr>
        <w:spacing w:before="120" w:after="120"/>
        <w:ind w:firstLine="720"/>
        <w:jc w:val="both"/>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rPr>
      </w:pPr>
      <w:r>
        <w:rPr>
          <w:b/>
        </w:rPr>
        <w:t>SIA „Elvim”</w:t>
      </w:r>
      <w:r>
        <w:t>, reģistrācijas Nr. 40103040641, juridiskā adrese Kurzemes prospekts 3G, Rīga, LV-1067, kuru saskaņā ar statūtiem pārstāv valdes priekšsēdētājs Igors Dumans</w:t>
      </w:r>
      <w:r>
        <w:rPr>
          <w:szCs w:val="22"/>
        </w:rPr>
        <w:t xml:space="preserve"> (turpmāk – Piegādātājs)</w:t>
      </w:r>
    </w:p>
    <w:p>
      <w:pPr>
        <w:spacing w:before="120" w:after="120"/>
        <w:ind w:firstLine="720"/>
        <w:jc w:val="both"/>
      </w:pPr>
      <w:r>
        <w:rPr>
          <w:iCs/>
          <w:szCs w:val="22"/>
        </w:rPr>
        <w:t xml:space="preserve">abi kopā </w:t>
      </w:r>
      <w:r>
        <w:t>(turpmāk - Puses) katrs atsevišķi – Puse,</w:t>
      </w:r>
    </w:p>
    <w:p>
      <w:pPr>
        <w:spacing w:before="120" w:after="120"/>
        <w:ind w:firstLine="720"/>
        <w:jc w:val="both"/>
      </w:pPr>
      <w:r>
        <w:t>pamatojoties uz atklāta konkursa „Medicīnas preces personāla individuālās aizsardzības nodrošināšanai id. Nr. RAKUS 2020/78 (turpmāk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medicīniskās preces (turpmāk – Preces). Vienošanās tiek noslēgta par sekojošo:</w:t>
      </w:r>
    </w:p>
    <w:p>
      <w:pPr>
        <w:pStyle w:val="15"/>
        <w:numPr>
          <w:ilvl w:val="0"/>
          <w:numId w:val="1"/>
        </w:numPr>
        <w:spacing w:before="240" w:after="120"/>
        <w:ind w:left="482" w:hanging="482"/>
        <w:contextualSpacing w:val="0"/>
        <w:jc w:val="center"/>
        <w:rPr>
          <w:b/>
          <w:bCs/>
        </w:rPr>
      </w:pPr>
      <w:r>
        <w:rPr>
          <w:b/>
          <w:bCs/>
        </w:rPr>
        <w:t>VIENOŠANĀS PRIEKŠMETS</w:t>
      </w:r>
    </w:p>
    <w:p>
      <w:pPr>
        <w:pStyle w:val="15"/>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tiesības slēgt piegādes līgumu ar Pircēju par šīm pozīcijām par Piegādātāja Konkursā piedāvātajām cenām, un noteikta piegādes līgumu noslēgšanas kārtība.</w:t>
      </w:r>
    </w:p>
    <w:p>
      <w:pPr>
        <w:pStyle w:val="15"/>
        <w:numPr>
          <w:ilvl w:val="1"/>
          <w:numId w:val="1"/>
        </w:numPr>
        <w:spacing w:after="120"/>
        <w:ind w:left="482" w:hanging="482"/>
        <w:contextualSpacing w:val="0"/>
        <w:jc w:val="both"/>
      </w:pPr>
      <w:r>
        <w:t>Gadījumā, ja Piegādātājs Nr. 1 nespēj piegādāt kādu Preci, Pircējam ir tiesības pasūtīt Preces no nākamā Piegādātāja (Piegādātājs Nr. 2 atbilstoši Vienošanās pielikumam Nr. 1), kurš piedāvājis nākamo zemāko cenu. Ja arī nākamais Piegādātājs nespēj piegādāt nepieciešamās Preces, Pircējs Preces pasūta no nākamā Piegādātāja (Piegādātājs Nr. 3 atbilstoši Vienošanās pielikumam Nr. 1), kurš piedāvājis nākamo zemāko cenu.</w:t>
      </w:r>
    </w:p>
    <w:p>
      <w:pPr>
        <w:pStyle w:val="15"/>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 Preču piegādi par šādām vai zemākām cenām, Pircējs ir tiesīgs iegādāties Preces EIS un Piegādātājam nav tiesības celt pretenzijas par to.</w:t>
      </w:r>
    </w:p>
    <w:p>
      <w:pPr>
        <w:pStyle w:val="15"/>
        <w:numPr>
          <w:ilvl w:val="1"/>
          <w:numId w:val="1"/>
        </w:numPr>
        <w:spacing w:after="120"/>
        <w:ind w:left="482" w:hanging="482"/>
        <w:contextualSpacing w:val="0"/>
        <w:jc w:val="both"/>
      </w:pPr>
      <w:r>
        <w:t>Puses atbilstoši Piegādātāja piedāvājumam Konkursā vienojas par Preču piegādi un Preču cenām, kuras norādītas šīs Vienošanās pielikumā Nr. 1. Šīs cenas ir maksimāli pieļaujamās cenas, par kurām Piegādātājs apņemas piegādāt Preces visā Vienošanās darbības laikā.</w:t>
      </w:r>
    </w:p>
    <w:p>
      <w:pPr>
        <w:pStyle w:val="15"/>
        <w:numPr>
          <w:ilvl w:val="1"/>
          <w:numId w:val="1"/>
        </w:numPr>
        <w:spacing w:after="120"/>
        <w:ind w:left="482" w:hanging="482"/>
        <w:contextualSpacing w:val="0"/>
        <w:jc w:val="both"/>
      </w:pPr>
      <w:r>
        <w:t>Puses nevienojas par Preču piegādes apjomiem. Pircēja Konkursa tehniskajā specifikācijā norādītie Preču apjomi ir aptuveni orientējošie apjomi.</w:t>
      </w:r>
    </w:p>
    <w:p>
      <w:pPr>
        <w:pStyle w:val="15"/>
        <w:numPr>
          <w:ilvl w:val="0"/>
          <w:numId w:val="1"/>
        </w:numPr>
        <w:spacing w:before="240" w:after="120"/>
        <w:ind w:left="482" w:hanging="482"/>
        <w:contextualSpacing w:val="0"/>
        <w:jc w:val="center"/>
        <w:rPr>
          <w:b/>
          <w:bCs/>
        </w:rPr>
      </w:pPr>
      <w:r>
        <w:rPr>
          <w:b/>
          <w:bCs/>
        </w:rPr>
        <w:t>VIENOŠANĀS DARBĪBAS LAIKS</w:t>
      </w:r>
    </w:p>
    <w:p>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pPr>
        <w:pStyle w:val="15"/>
        <w:numPr>
          <w:ilvl w:val="0"/>
          <w:numId w:val="1"/>
        </w:numPr>
        <w:spacing w:before="240" w:after="120"/>
        <w:ind w:left="482" w:hanging="482"/>
        <w:contextualSpacing w:val="0"/>
        <w:jc w:val="center"/>
        <w:rPr>
          <w:b/>
          <w:bCs/>
        </w:rPr>
      </w:pPr>
      <w:r>
        <w:rPr>
          <w:b/>
          <w:bCs/>
        </w:rPr>
        <w:t>PIEGĀDES LĪGUMA NOSLĒGŠANA UN IZPILDE</w:t>
      </w:r>
    </w:p>
    <w:p>
      <w:pPr>
        <w:pStyle w:val="15"/>
        <w:numPr>
          <w:ilvl w:val="1"/>
          <w:numId w:val="1"/>
        </w:numPr>
        <w:spacing w:after="120"/>
        <w:contextualSpacing w:val="0"/>
        <w:jc w:val="both"/>
      </w:pPr>
      <w:r>
        <w:t xml:space="preserve"> Piegādes līgumus Pircējs slēdz ar Piegādātājiem saskaņā ar Vienošanās pielikumu Nr. 1 un tajā norādītājām cenām. </w:t>
      </w:r>
    </w:p>
    <w:p>
      <w:pPr>
        <w:pStyle w:val="15"/>
        <w:numPr>
          <w:ilvl w:val="1"/>
          <w:numId w:val="1"/>
        </w:numPr>
        <w:tabs>
          <w:tab w:val="left" w:pos="900"/>
        </w:tabs>
        <w:spacing w:after="120"/>
        <w:contextualSpacing w:val="0"/>
        <w:jc w:val="both"/>
      </w:pPr>
      <w:r>
        <w:t xml:space="preserve"> Slēdzot piegādes līgumu, Pircējs vienojas ar Piegādātāju par Preču piegādēm:</w:t>
      </w:r>
    </w:p>
    <w:p>
      <w:pPr>
        <w:pStyle w:val="15"/>
        <w:numPr>
          <w:ilvl w:val="2"/>
          <w:numId w:val="1"/>
        </w:numPr>
        <w:tabs>
          <w:tab w:val="left" w:pos="1276"/>
        </w:tabs>
        <w:spacing w:after="120"/>
        <w:ind w:left="1162" w:hanging="680"/>
        <w:contextualSpacing w:val="0"/>
        <w:jc w:val="both"/>
      </w:pPr>
      <w:r>
        <w:t>nosakot veidu, kādā Pircējs pasūtīs Preces;</w:t>
      </w:r>
    </w:p>
    <w:p>
      <w:pPr>
        <w:pStyle w:val="15"/>
        <w:numPr>
          <w:ilvl w:val="2"/>
          <w:numId w:val="1"/>
        </w:numPr>
        <w:tabs>
          <w:tab w:val="left" w:pos="1276"/>
        </w:tabs>
        <w:spacing w:after="120"/>
        <w:ind w:left="1162" w:hanging="680"/>
        <w:contextualSpacing w:val="0"/>
        <w:jc w:val="both"/>
      </w:pPr>
      <w:r>
        <w:t>nosakot termiņu, kādā Piegādātājs piegādās Pircējam Preces.</w:t>
      </w:r>
    </w:p>
    <w:p>
      <w:pPr>
        <w:pStyle w:val="15"/>
        <w:numPr>
          <w:ilvl w:val="1"/>
          <w:numId w:val="1"/>
        </w:numPr>
        <w:spacing w:after="120"/>
        <w:contextualSpacing w:val="0"/>
        <w:jc w:val="both"/>
        <w:rPr>
          <w:szCs w:val="22"/>
        </w:rPr>
      </w:pPr>
      <w:r>
        <w:rPr>
          <w:szCs w:val="22"/>
        </w:rPr>
        <w:t xml:space="preserve">Ja Piegādātājs nespēj piegādāt kādu Preci vai nevar to piegādāt par Vienošanās noteikto cenu, vai citiem Vienošanās vai piegādes līguma nosacījumiem, tad Piegādātājs 24 stundu laikā nosūta Pircējam rakstisku paziņojumu pa e-pastu: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rPr>
          <w:szCs w:val="22"/>
        </w:rPr>
        <w:t>. Paziņojumā Piegādātājs sniedz informāciju, kādas pasūtītās Preces nespēj piegādāt, norādot konkrētās medicīniskās preces nosaukumu, daudzumu un cenu, informāciju, kādēļ nespēj piegādāt un cik ilgu laika posmu nespēs piegādāt Preces. Gadījumā, ja Piegādātājs nespēj piegādāt Preces ražotāja atteikuma rezultātā, Piegādātājs iesniedz Pircējam Preces ražotāja atteikuma vēstules apliecinātu kopiju.</w:t>
      </w:r>
    </w:p>
    <w:p>
      <w:pPr>
        <w:pStyle w:val="15"/>
        <w:numPr>
          <w:ilvl w:val="1"/>
          <w:numId w:val="1"/>
        </w:numPr>
        <w:spacing w:after="120"/>
        <w:contextualSpacing w:val="0"/>
        <w:jc w:val="both"/>
      </w:pPr>
      <w:r>
        <w:t xml:space="preserve">Gadījumā, ja Piegādātājs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Piegādātāja Nr. 2, ņemot vērā Vienošanās pielikumā Nr. 1 noteikto Preces cenu. Ja arī Piegādātājs Nr. 2 nespēj piegādāt attiecīgo Preci, Pircējs Preci pasūta no Piegādātāja Nr. 3. </w:t>
      </w:r>
    </w:p>
    <w:p>
      <w:pPr>
        <w:pStyle w:val="15"/>
        <w:numPr>
          <w:ilvl w:val="1"/>
          <w:numId w:val="1"/>
        </w:numPr>
        <w:spacing w:after="120"/>
        <w:contextualSpacing w:val="0"/>
        <w:jc w:val="both"/>
      </w:pPr>
      <w:r>
        <w:t>Ja Piegādātājs nevar nodrošināt Pircēja pieprasītās Preces piegādi, tam nav tiesību celt pretenzijas pret Pircēju vai citu piegādātāju, kurš saskaņā ar Konkursa rezultātiem ir piedāvājis nākamo zemāko cenu un no kura tiks pasūtītas Preces.</w:t>
      </w:r>
    </w:p>
    <w:p>
      <w:pPr>
        <w:pStyle w:val="15"/>
        <w:numPr>
          <w:ilvl w:val="0"/>
          <w:numId w:val="1"/>
        </w:numPr>
        <w:spacing w:before="240" w:after="120"/>
        <w:ind w:left="482" w:hanging="482"/>
        <w:contextualSpacing w:val="0"/>
        <w:jc w:val="center"/>
        <w:rPr>
          <w:b/>
          <w:bCs/>
        </w:rPr>
      </w:pPr>
      <w:r>
        <w:rPr>
          <w:b/>
          <w:bCs/>
        </w:rPr>
        <w:t>PUŠU SAISTĪBAS</w:t>
      </w:r>
    </w:p>
    <w:p>
      <w:pPr>
        <w:pStyle w:val="15"/>
        <w:numPr>
          <w:ilvl w:val="1"/>
          <w:numId w:val="1"/>
        </w:numPr>
        <w:spacing w:after="120"/>
        <w:contextualSpacing w:val="0"/>
        <w:jc w:val="both"/>
      </w:pPr>
      <w:r>
        <w:t>Piegādātāja saistības:</w:t>
      </w:r>
    </w:p>
    <w:p>
      <w:pPr>
        <w:pStyle w:val="15"/>
        <w:numPr>
          <w:ilvl w:val="2"/>
          <w:numId w:val="1"/>
        </w:numPr>
        <w:spacing w:after="120"/>
        <w:ind w:left="1162" w:hanging="680"/>
        <w:contextualSpacing w:val="0"/>
        <w:jc w:val="both"/>
      </w:pPr>
      <w:r>
        <w:t>Piegādātājs apņemas veikt Preču piegādi Pircējam saskaņā ar piegādes līguma noteikumiem;</w:t>
      </w:r>
    </w:p>
    <w:p>
      <w:pPr>
        <w:pStyle w:val="15"/>
        <w:numPr>
          <w:ilvl w:val="2"/>
          <w:numId w:val="1"/>
        </w:numPr>
        <w:spacing w:after="120"/>
        <w:ind w:left="1162" w:hanging="680"/>
        <w:contextualSpacing w:val="0"/>
        <w:jc w:val="both"/>
      </w:pPr>
      <w:r>
        <w:t>Piegādātājs atbild par Preču atbilstību Latvijas Republikas un Eiropas Savienības normatīvo aktu prasībām;</w:t>
      </w:r>
    </w:p>
    <w:p>
      <w:pPr>
        <w:pStyle w:val="15"/>
        <w:numPr>
          <w:ilvl w:val="2"/>
          <w:numId w:val="1"/>
        </w:numPr>
        <w:spacing w:after="120"/>
        <w:ind w:left="1162" w:hanging="680"/>
        <w:contextualSpacing w:val="0"/>
        <w:jc w:val="both"/>
      </w:pPr>
      <w:r>
        <w:t>Piegādātājs Vienošanās darbības laikā ievēro Vienošanās 3. punktā un piegādes līgumā noteikto piegādes līguma izpildes kārtību.</w:t>
      </w:r>
    </w:p>
    <w:p>
      <w:pPr>
        <w:pStyle w:val="15"/>
        <w:numPr>
          <w:ilvl w:val="1"/>
          <w:numId w:val="1"/>
        </w:numPr>
        <w:spacing w:after="120"/>
        <w:contextualSpacing w:val="0"/>
        <w:jc w:val="both"/>
      </w:pPr>
      <w:r>
        <w:t xml:space="preserve"> Pircēja saistības:</w:t>
      </w:r>
    </w:p>
    <w:p>
      <w:pPr>
        <w:pStyle w:val="15"/>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pPr>
        <w:pStyle w:val="15"/>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Piegādātāja.</w:t>
      </w:r>
    </w:p>
    <w:p>
      <w:pPr>
        <w:pStyle w:val="15"/>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pPr>
        <w:pStyle w:val="15"/>
        <w:numPr>
          <w:ilvl w:val="0"/>
          <w:numId w:val="1"/>
        </w:numPr>
        <w:spacing w:before="240" w:after="120"/>
        <w:ind w:left="482" w:hanging="482"/>
        <w:contextualSpacing w:val="0"/>
        <w:jc w:val="center"/>
        <w:rPr>
          <w:b/>
          <w:bCs/>
        </w:rPr>
      </w:pPr>
      <w:r>
        <w:rPr>
          <w:b/>
          <w:bCs/>
        </w:rPr>
        <w:t>VIENOŠANĀS NOTEIKUMU GROZĪŠANA, TĀS DARBĪBAS IZBEIGŠANA</w:t>
      </w:r>
    </w:p>
    <w:p>
      <w:pPr>
        <w:pStyle w:val="15"/>
        <w:numPr>
          <w:ilvl w:val="1"/>
          <w:numId w:val="1"/>
        </w:numPr>
        <w:spacing w:after="120"/>
        <w:ind w:left="482" w:hanging="482"/>
        <w:contextualSpacing w:val="0"/>
        <w:jc w:val="both"/>
      </w:pPr>
      <w:r>
        <w:t>Vienošanos var papildināt, grozīt vai izbeigt, Pusēm savstarpēji vienojoties. Jebkuras izmaiņas vai papildinājumi tiek noformēti rakstveidā un kļūst par šīs</w:t>
      </w:r>
      <w:r>
        <w:rPr>
          <w:i/>
        </w:rPr>
        <w:t xml:space="preserve"> </w:t>
      </w:r>
      <w:r>
        <w:t>Vienošanās neatņemamām sastāvdaļām.</w:t>
      </w:r>
    </w:p>
    <w:p>
      <w:pPr>
        <w:pStyle w:val="15"/>
        <w:numPr>
          <w:ilvl w:val="1"/>
          <w:numId w:val="1"/>
        </w:numPr>
        <w:spacing w:after="120"/>
        <w:ind w:left="482" w:hanging="482"/>
        <w:contextualSpacing w:val="0"/>
        <w:jc w:val="both"/>
      </w:pPr>
      <w:r>
        <w:t xml:space="preserve">Ja Piegādātājs pārkāpj ar Vienošanos noteiktās prasības, tad var uzskatīt, ka ar šīs darbības veikšanu Piegādātājs ir vienpusēji izbeidzis Vienošanos un Piegādātājs zaudē visas ar Vienošanos noteiktās tiesības. </w:t>
      </w:r>
    </w:p>
    <w:p>
      <w:pPr>
        <w:pStyle w:val="15"/>
        <w:numPr>
          <w:ilvl w:val="0"/>
          <w:numId w:val="1"/>
        </w:numPr>
        <w:spacing w:before="240" w:after="120"/>
        <w:ind w:left="482" w:hanging="482"/>
        <w:contextualSpacing w:val="0"/>
        <w:jc w:val="center"/>
        <w:rPr>
          <w:b/>
          <w:bCs/>
        </w:rPr>
      </w:pPr>
      <w:r>
        <w:rPr>
          <w:b/>
          <w:bCs/>
        </w:rPr>
        <w:t>STRĪDU RISINĀŠANAS KĀRTĪBA</w:t>
      </w:r>
    </w:p>
    <w:p>
      <w:pPr>
        <w:pStyle w:val="15"/>
        <w:numPr>
          <w:ilvl w:val="1"/>
          <w:numId w:val="1"/>
        </w:numPr>
        <w:spacing w:after="120"/>
        <w:ind w:left="482" w:hanging="482"/>
        <w:contextualSpacing w:val="0"/>
        <w:jc w:val="both"/>
      </w:pPr>
      <w:r>
        <w:t xml:space="preserve">Jebkuras nesaskaņas, domstarpības vai strīdi starp Pusēm risināmas savstarpēju sarunu ceļā. </w:t>
      </w:r>
    </w:p>
    <w:p>
      <w:pPr>
        <w:pStyle w:val="15"/>
        <w:numPr>
          <w:ilvl w:val="1"/>
          <w:numId w:val="1"/>
        </w:numPr>
        <w:spacing w:after="120"/>
        <w:ind w:left="482" w:hanging="482"/>
        <w:contextualSpacing w:val="0"/>
        <w:jc w:val="both"/>
      </w:pPr>
      <w:r>
        <w:t>Gadījumā, ja Puses nespēj vienoties sarunu ceļā, strīds Latvijas Republikas spēkā esošajos normatīvajos aktos noteiktajā kārtībā risināms Latvijas Republikas tiesā.</w:t>
      </w:r>
    </w:p>
    <w:p>
      <w:pPr>
        <w:pStyle w:val="15"/>
        <w:numPr>
          <w:ilvl w:val="0"/>
          <w:numId w:val="1"/>
        </w:numPr>
        <w:spacing w:before="240" w:after="120"/>
        <w:ind w:left="482" w:hanging="482"/>
        <w:contextualSpacing w:val="0"/>
        <w:jc w:val="center"/>
        <w:rPr>
          <w:b/>
          <w:bCs/>
        </w:rPr>
      </w:pPr>
      <w:r>
        <w:rPr>
          <w:b/>
          <w:bCs/>
        </w:rPr>
        <w:t>NEPĀRVARAMA VARA</w:t>
      </w:r>
    </w:p>
    <w:p>
      <w:pPr>
        <w:numPr>
          <w:ilvl w:val="1"/>
          <w:numId w:val="1"/>
        </w:numPr>
        <w:tabs>
          <w:tab w:val="left" w:pos="540"/>
        </w:tabs>
        <w:spacing w:after="120"/>
        <w:ind w:left="482" w:hanging="482"/>
        <w:jc w:val="both"/>
      </w:pPr>
      <w:r>
        <w:t xml:space="preserve">Puses ir atbrīvotas no atbildības par Līgumā noteikto pienākumu pilnīgu vai daļēju neizpildi, ja šāda neizpilde radusies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numPr>
          <w:ilvl w:val="1"/>
          <w:numId w:val="1"/>
        </w:numPr>
        <w:tabs>
          <w:tab w:val="left" w:pos="540"/>
        </w:tabs>
        <w:spacing w:after="288" w:afterLines="120"/>
        <w:ind w:left="482" w:hanging="482"/>
        <w:jc w:val="both"/>
      </w:pPr>
      <w: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pStyle w:val="15"/>
        <w:numPr>
          <w:ilvl w:val="1"/>
          <w:numId w:val="1"/>
        </w:numPr>
        <w:spacing w:after="288" w:afterLines="120"/>
        <w:ind w:left="482" w:hanging="482"/>
        <w:contextualSpacing w:val="0"/>
        <w:jc w:val="both"/>
        <w:rPr>
          <w:bCs/>
          <w:szCs w:val="22"/>
        </w:rPr>
      </w:pPr>
      <w: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pPr>
        <w:pStyle w:val="15"/>
        <w:numPr>
          <w:ilvl w:val="0"/>
          <w:numId w:val="1"/>
        </w:numPr>
        <w:spacing w:before="240" w:after="120"/>
        <w:ind w:left="482" w:hanging="482"/>
        <w:contextualSpacing w:val="0"/>
        <w:jc w:val="center"/>
        <w:rPr>
          <w:b/>
          <w:bCs/>
        </w:rPr>
      </w:pPr>
      <w:r>
        <w:rPr>
          <w:b/>
          <w:bCs/>
        </w:rPr>
        <w:t>CITI NOTEIKUMI</w:t>
      </w:r>
    </w:p>
    <w:p>
      <w:pPr>
        <w:pStyle w:val="15"/>
        <w:numPr>
          <w:ilvl w:val="1"/>
          <w:numId w:val="1"/>
        </w:numPr>
        <w:tabs>
          <w:tab w:val="left" w:pos="-993"/>
          <w:tab w:val="left" w:pos="-851"/>
        </w:tabs>
        <w:spacing w:after="120"/>
        <w:contextualSpacing w:val="0"/>
        <w:jc w:val="both"/>
      </w:pPr>
      <w:r>
        <w:t>Vienošanās ir saistoša Pusēm un to saistību pārņēmējiem.</w:t>
      </w:r>
    </w:p>
    <w:p>
      <w:pPr>
        <w:pStyle w:val="15"/>
        <w:numPr>
          <w:ilvl w:val="1"/>
          <w:numId w:val="1"/>
        </w:numPr>
        <w:tabs>
          <w:tab w:val="left" w:pos="-993"/>
          <w:tab w:val="left" w:pos="-851"/>
        </w:tabs>
        <w:spacing w:after="120"/>
        <w:contextualSpacing w:val="0"/>
        <w:jc w:val="both"/>
      </w:pPr>
      <w:r>
        <w:t>Ja kādai no Pusēm tiek mainīta juridiskā adrese vai bankas rekvizīti, tad Puse 7 (septiņu) dienu laikā rakstiski paziņo par to otrai Pusei. Ja Puse neizpilda šī apakšpunkta noteikumus, uzskatāms, ka otra Puse ir pilnībā izpildījusi savas saistības, lietojot šajā Vienošanās esošo informāciju par otru Pusi. Šajā apakšpunktā minētie nosacījumi attiecas arī uz Vienošanās minētajiem Pušu pārstāvjiem un to rekvizītiem.</w:t>
      </w:r>
    </w:p>
    <w:p>
      <w:pPr>
        <w:pStyle w:val="15"/>
        <w:numPr>
          <w:ilvl w:val="1"/>
          <w:numId w:val="1"/>
        </w:numPr>
        <w:spacing w:after="120"/>
        <w:contextualSpacing w:val="0"/>
        <w:jc w:val="both"/>
      </w:pPr>
      <w:r>
        <w:t>Kontaktpersonas:</w:t>
      </w:r>
    </w:p>
    <w:p>
      <w:pPr>
        <w:pStyle w:val="15"/>
        <w:numPr>
          <w:ilvl w:val="2"/>
          <w:numId w:val="1"/>
        </w:numPr>
        <w:spacing w:after="120"/>
        <w:ind w:left="1162" w:hanging="680"/>
        <w:contextualSpacing w:val="0"/>
        <w:jc w:val="both"/>
      </w:pPr>
      <w:r>
        <w:t xml:space="preserve">No Pircēja puses: 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t xml:space="preserve">. </w:t>
      </w:r>
    </w:p>
    <w:p>
      <w:pPr>
        <w:pStyle w:val="15"/>
        <w:numPr>
          <w:ilvl w:val="2"/>
          <w:numId w:val="1"/>
        </w:numPr>
        <w:spacing w:after="120"/>
        <w:ind w:left="1162" w:hanging="680"/>
        <w:contextualSpacing w:val="0"/>
        <w:jc w:val="both"/>
      </w:pPr>
      <w:r>
        <w:t xml:space="preserve">No Piegādātāja puses: Tirdzniecības nodaļas vadītāja Larisa Gruntova, tālr. </w:t>
      </w:r>
      <w:r>
        <w:rPr>
          <w:bCs/>
          <w:color w:val="000000"/>
        </w:rPr>
        <w:t>67408858</w:t>
      </w:r>
      <w:r>
        <w:t xml:space="preserve">, fakss 67808430, e- pasts: </w:t>
      </w:r>
      <w:r>
        <w:fldChar w:fldCharType="begin"/>
      </w:r>
      <w:r>
        <w:instrText xml:space="preserve"> HYPERLINK "mailto:hospital@elvim.lv" </w:instrText>
      </w:r>
      <w:r>
        <w:fldChar w:fldCharType="separate"/>
      </w:r>
      <w:r>
        <w:rPr>
          <w:rStyle w:val="10"/>
        </w:rPr>
        <w:t>hospital@elvim.lv</w:t>
      </w:r>
      <w:r>
        <w:rPr>
          <w:rStyle w:val="10"/>
        </w:rPr>
        <w:fldChar w:fldCharType="end"/>
      </w:r>
      <w:r>
        <w:t xml:space="preserve">. </w:t>
      </w:r>
    </w:p>
    <w:p>
      <w:pPr>
        <w:pStyle w:val="15"/>
        <w:numPr>
          <w:ilvl w:val="1"/>
          <w:numId w:val="1"/>
        </w:numPr>
        <w:spacing w:after="120"/>
        <w:contextualSpacing w:val="0"/>
        <w:jc w:val="both"/>
      </w:pPr>
      <w:r>
        <w:t>Vienošanās pielikums ir Vienošanās neatņemama sastāvdaļa.</w:t>
      </w:r>
    </w:p>
    <w:p>
      <w:pPr>
        <w:pStyle w:val="15"/>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2 (divām) lapām. Vienošanās eksemplāri izsniegti pa vienam katrai Pusei, abiem Vienošanās eksemplāriem ir vienāds juridisks spēks.</w:t>
      </w:r>
    </w:p>
    <w:p>
      <w:pPr>
        <w:spacing w:after="160" w:line="259" w:lineRule="auto"/>
      </w:pPr>
    </w:p>
    <w:p>
      <w:pPr>
        <w:pStyle w:val="15"/>
        <w:tabs>
          <w:tab w:val="left" w:pos="-993"/>
          <w:tab w:val="left" w:pos="-851"/>
        </w:tabs>
        <w:spacing w:after="160" w:line="259" w:lineRule="auto"/>
        <w:ind w:left="480"/>
        <w:contextualSpacing w:val="0"/>
        <w:jc w:val="both"/>
      </w:pPr>
    </w:p>
    <w:p>
      <w:pPr>
        <w:pStyle w:val="15"/>
        <w:numPr>
          <w:ilvl w:val="0"/>
          <w:numId w:val="1"/>
        </w:numPr>
        <w:spacing w:before="240" w:after="120"/>
        <w:ind w:left="482" w:hanging="482"/>
        <w:contextualSpacing w:val="0"/>
        <w:jc w:val="center"/>
        <w:rPr>
          <w:b/>
          <w:bCs/>
        </w:rPr>
      </w:pPr>
      <w:r>
        <w:rPr>
          <w:b/>
          <w:bCs/>
        </w:rPr>
        <w:t>PUŠU REKVIZĪTI UN PARAKSTI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2"/>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rPr>
            </w:pPr>
            <w:r>
              <w:rPr>
                <w:rFonts w:ascii="Times New Roman" w:hAnsi="Times New Roman" w:eastAsia="Times New Roman" w:cs="Times New Roman"/>
                <w:bCs/>
                <w:sz w:val="24"/>
                <w:szCs w:val="24"/>
              </w:rPr>
              <w:t>A.Ločmele</w:t>
            </w:r>
            <w:bookmarkStart w:id="0" w:name="_GoBack"/>
            <w:bookmarkEnd w:id="0"/>
          </w:p>
        </w:tc>
        <w:tc>
          <w:tcPr>
            <w:tcW w:w="4927" w:type="dxa"/>
          </w:tcPr>
          <w:p>
            <w:pPr>
              <w:spacing w:before="120" w:after="120"/>
              <w:jc w:val="both"/>
              <w:rPr>
                <w:b/>
              </w:rPr>
            </w:pPr>
            <w:r>
              <w:rPr>
                <w:b/>
                <w:bCs/>
                <w:szCs w:val="22"/>
              </w:rPr>
              <w:t>PIEGĀDĀTĀJS</w:t>
            </w:r>
            <w:r>
              <w:rPr>
                <w:szCs w:val="22"/>
              </w:rPr>
              <w:t>:</w:t>
            </w:r>
            <w:r>
              <w:rPr>
                <w:b/>
              </w:rPr>
              <w:t xml:space="preserve"> </w:t>
            </w:r>
          </w:p>
          <w:p>
            <w:pPr>
              <w:jc w:val="both"/>
              <w:rPr>
                <w:b/>
              </w:rPr>
            </w:pPr>
            <w:r>
              <w:rPr>
                <w:b/>
              </w:rPr>
              <w:t>SIA „Elvim”</w:t>
            </w:r>
          </w:p>
          <w:p>
            <w:pPr>
              <w:jc w:val="both"/>
              <w:rPr>
                <w:b/>
              </w:rPr>
            </w:pPr>
          </w:p>
          <w:p>
            <w:pPr>
              <w:jc w:val="both"/>
            </w:pPr>
            <w:r>
              <w:t>Kurzemes prospekts 3G, Rīga, LV-1067</w:t>
            </w:r>
          </w:p>
          <w:p>
            <w:pPr>
              <w:jc w:val="both"/>
            </w:pPr>
            <w:r>
              <w:t>Reģ. Nr. 40103040641</w:t>
            </w:r>
          </w:p>
          <w:p>
            <w:pPr>
              <w:pStyle w:val="12"/>
              <w:jc w:val="left"/>
              <w:rPr>
                <w:rFonts w:ascii="Times New Roman" w:hAnsi="Times New Roman"/>
                <w:b w:val="0"/>
              </w:rPr>
            </w:pPr>
            <w:r>
              <w:rPr>
                <w:rFonts w:ascii="Times New Roman" w:hAnsi="Times New Roman"/>
                <w:b w:val="0"/>
              </w:rPr>
              <w:t>Banka: Luminor Bank AS Latvijas filiāle</w:t>
            </w:r>
          </w:p>
          <w:p>
            <w:pPr>
              <w:pStyle w:val="12"/>
              <w:jc w:val="left"/>
              <w:rPr>
                <w:rFonts w:ascii="Times New Roman" w:hAnsi="Times New Roman"/>
                <w:b w:val="0"/>
              </w:rPr>
            </w:pPr>
            <w:r>
              <w:rPr>
                <w:rFonts w:ascii="Times New Roman" w:hAnsi="Times New Roman"/>
                <w:b w:val="0"/>
              </w:rPr>
              <w:t xml:space="preserve">Bankas kods </w:t>
            </w:r>
            <w:r>
              <w:rPr>
                <w:rFonts w:ascii="Times New Roman" w:hAnsi="Times New Roman"/>
                <w:b w:val="0"/>
                <w:shd w:val="clear" w:color="auto" w:fill="FFFFFF"/>
              </w:rPr>
              <w:t>RIKOLV2X</w:t>
            </w:r>
          </w:p>
          <w:p>
            <w:pPr>
              <w:pStyle w:val="12"/>
              <w:jc w:val="left"/>
              <w:rPr>
                <w:rFonts w:ascii="Times New Roman" w:hAnsi="Times New Roman"/>
                <w:b w:val="0"/>
              </w:rPr>
            </w:pPr>
            <w:r>
              <w:rPr>
                <w:rFonts w:ascii="Times New Roman" w:hAnsi="Times New Roman"/>
                <w:b w:val="0"/>
              </w:rPr>
              <w:t>Konta Nr. LV71RIKO0002930289869</w:t>
            </w:r>
          </w:p>
          <w:p>
            <w:pPr>
              <w:pStyle w:val="5"/>
              <w:spacing w:before="160"/>
              <w:rPr>
                <w:bCs/>
                <w:i/>
              </w:rPr>
            </w:pPr>
            <w:r>
              <w:rPr>
                <w:bCs/>
                <w:i/>
              </w:rPr>
              <w:t>____________________________</w:t>
            </w:r>
          </w:p>
          <w:p>
            <w:pPr>
              <w:jc w:val="both"/>
              <w:rPr>
                <w:szCs w:val="22"/>
              </w:rPr>
            </w:pPr>
            <w:r>
              <w:rPr>
                <w:szCs w:val="22"/>
              </w:rPr>
              <w:t>I. Dumans</w:t>
            </w:r>
          </w:p>
        </w:tc>
      </w:tr>
    </w:tbl>
    <w:p>
      <w:pPr>
        <w:spacing w:before="120" w:after="120"/>
        <w:jc w:val="center"/>
        <w:rPr>
          <w:b/>
          <w:bCs/>
        </w:rPr>
      </w:pPr>
    </w:p>
    <w:p>
      <w:pPr>
        <w:pStyle w:val="5"/>
        <w:spacing w:before="120"/>
        <w:jc w:val="center"/>
        <w:rPr>
          <w:caps/>
        </w:rPr>
        <w:sectPr>
          <w:footerReference r:id="rId6" w:type="first"/>
          <w:footerReference r:id="rId5" w:type="default"/>
          <w:pgSz w:w="11906" w:h="16838"/>
          <w:pgMar w:top="1134" w:right="851" w:bottom="1134" w:left="1418" w:header="709" w:footer="283" w:gutter="0"/>
          <w:pgNumType w:start="1"/>
          <w:cols w:space="708" w:num="1"/>
          <w:titlePg/>
          <w:docGrid w:linePitch="360" w:charSpace="0"/>
        </w:sectPr>
      </w:pPr>
      <w:r>
        <w:rPr>
          <w:caps/>
        </w:rPr>
        <w:t>ŠIS Dokuments ir parakstīts ar drošu elektronisko parakstu un satur laika zīmogu</w:t>
      </w:r>
    </w:p>
    <w:p>
      <w:pPr>
        <w:pStyle w:val="5"/>
        <w:spacing w:before="120"/>
        <w:jc w:val="center"/>
      </w:pPr>
    </w:p>
    <w:sectPr>
      <w:footerReference r:id="rId8" w:type="first"/>
      <w:footerReference r:id="rId7" w:type="default"/>
      <w:type w:val="continuous"/>
      <w:pgSz w:w="11906" w:h="16838"/>
      <w:pgMar w:top="1134" w:right="851" w:bottom="1134" w:left="1418" w:header="709" w:footer="283"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Segoe UI">
    <w:panose1 w:val="020B0502040204020203"/>
    <w:charset w:val="BA"/>
    <w:family w:val="swiss"/>
    <w:pitch w:val="default"/>
    <w:sig w:usb0="E4002EFF" w:usb1="C000E47F" w:usb2="00000009" w:usb3="00000000" w:csb0="200001FF" w:csb1="00000000"/>
  </w:font>
  <w:font w:name="Arial">
    <w:panose1 w:val="020B0604020202020204"/>
    <w:charset w:val="BA"/>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2F242391"/>
    <w:multiLevelType w:val="multilevel"/>
    <w:tmpl w:val="2F242391"/>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11"/>
    <w:rsid w:val="00010BEE"/>
    <w:rsid w:val="00023CD4"/>
    <w:rsid w:val="00025B37"/>
    <w:rsid w:val="0003518D"/>
    <w:rsid w:val="000725A1"/>
    <w:rsid w:val="0008336C"/>
    <w:rsid w:val="00095534"/>
    <w:rsid w:val="00097850"/>
    <w:rsid w:val="000E7011"/>
    <w:rsid w:val="00121454"/>
    <w:rsid w:val="0012533A"/>
    <w:rsid w:val="0013342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B147C"/>
    <w:rsid w:val="002C40F5"/>
    <w:rsid w:val="002D32BE"/>
    <w:rsid w:val="002E3FC3"/>
    <w:rsid w:val="002F78A6"/>
    <w:rsid w:val="00312BA7"/>
    <w:rsid w:val="00322D22"/>
    <w:rsid w:val="00326482"/>
    <w:rsid w:val="003346F5"/>
    <w:rsid w:val="00372A60"/>
    <w:rsid w:val="00373565"/>
    <w:rsid w:val="003D294D"/>
    <w:rsid w:val="00412E4C"/>
    <w:rsid w:val="00424C88"/>
    <w:rsid w:val="00441AB0"/>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707C"/>
    <w:rsid w:val="005A431D"/>
    <w:rsid w:val="005F152C"/>
    <w:rsid w:val="006217DD"/>
    <w:rsid w:val="00646EE7"/>
    <w:rsid w:val="0066139B"/>
    <w:rsid w:val="006877E3"/>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2805"/>
    <w:rsid w:val="009C4B01"/>
    <w:rsid w:val="009F084D"/>
    <w:rsid w:val="00A04AC3"/>
    <w:rsid w:val="00A46227"/>
    <w:rsid w:val="00A7742B"/>
    <w:rsid w:val="00A949EE"/>
    <w:rsid w:val="00AC55E2"/>
    <w:rsid w:val="00AD6F1A"/>
    <w:rsid w:val="00B02F29"/>
    <w:rsid w:val="00B0797A"/>
    <w:rsid w:val="00B12987"/>
    <w:rsid w:val="00B64E0A"/>
    <w:rsid w:val="00B65341"/>
    <w:rsid w:val="00B729C8"/>
    <w:rsid w:val="00BE53E9"/>
    <w:rsid w:val="00C0257A"/>
    <w:rsid w:val="00C0473C"/>
    <w:rsid w:val="00C231A8"/>
    <w:rsid w:val="00C47B7D"/>
    <w:rsid w:val="00C669E2"/>
    <w:rsid w:val="00C86466"/>
    <w:rsid w:val="00CB65CD"/>
    <w:rsid w:val="00CC0314"/>
    <w:rsid w:val="00CF55F5"/>
    <w:rsid w:val="00D33758"/>
    <w:rsid w:val="00D724B5"/>
    <w:rsid w:val="00D73B1D"/>
    <w:rsid w:val="00D92751"/>
    <w:rsid w:val="00DA364E"/>
    <w:rsid w:val="00DD69F0"/>
    <w:rsid w:val="00E3004C"/>
    <w:rsid w:val="00E30683"/>
    <w:rsid w:val="00E312D6"/>
    <w:rsid w:val="00E3383D"/>
    <w:rsid w:val="00E37714"/>
    <w:rsid w:val="00E54F99"/>
    <w:rsid w:val="00EA094B"/>
    <w:rsid w:val="00EA3306"/>
    <w:rsid w:val="00EC65A4"/>
    <w:rsid w:val="00ED7678"/>
    <w:rsid w:val="00ED7C37"/>
    <w:rsid w:val="00EE787D"/>
    <w:rsid w:val="00F00222"/>
    <w:rsid w:val="00F50D5D"/>
    <w:rsid w:val="00F63C26"/>
    <w:rsid w:val="00F728BC"/>
    <w:rsid w:val="00F82AF4"/>
    <w:rsid w:val="00F914AB"/>
    <w:rsid w:val="00F92A51"/>
    <w:rsid w:val="00F973D5"/>
    <w:rsid w:val="00FB161B"/>
    <w:rsid w:val="00FB6F6B"/>
    <w:rsid w:val="00FC78C4"/>
    <w:rsid w:val="00FD5600"/>
    <w:rsid w:val="743606D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lv-LV"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rPr>
      <w:rFonts w:ascii="Segoe UI" w:hAnsi="Segoe UI" w:cs="Segoe UI"/>
      <w:sz w:val="18"/>
      <w:szCs w:val="18"/>
    </w:rPr>
  </w:style>
  <w:style w:type="paragraph" w:styleId="5">
    <w:name w:val="Body Text"/>
    <w:basedOn w:val="1"/>
    <w:link w:val="13"/>
    <w:uiPriority w:val="0"/>
    <w:pPr>
      <w:jc w:val="both"/>
    </w:pPr>
  </w:style>
  <w:style w:type="character" w:styleId="6">
    <w:name w:val="annotation reference"/>
    <w:basedOn w:val="2"/>
    <w:semiHidden/>
    <w:unhideWhenUsed/>
    <w:uiPriority w:val="99"/>
    <w:rPr>
      <w:sz w:val="16"/>
      <w:szCs w:val="16"/>
    </w:rPr>
  </w:style>
  <w:style w:type="paragraph" w:styleId="7">
    <w:name w:val="annotation text"/>
    <w:basedOn w:val="1"/>
    <w:link w:val="16"/>
    <w:semiHidden/>
    <w:unhideWhenUsed/>
    <w:uiPriority w:val="99"/>
    <w:rPr>
      <w:sz w:val="20"/>
      <w:szCs w:val="20"/>
    </w:rPr>
  </w:style>
  <w:style w:type="paragraph" w:styleId="8">
    <w:name w:val="annotation subject"/>
    <w:basedOn w:val="7"/>
    <w:next w:val="7"/>
    <w:link w:val="17"/>
    <w:semiHidden/>
    <w:unhideWhenUsed/>
    <w:uiPriority w:val="99"/>
    <w:rPr>
      <w:b/>
      <w:bCs/>
    </w:rPr>
  </w:style>
  <w:style w:type="paragraph" w:styleId="9">
    <w:name w:val="footer"/>
    <w:basedOn w:val="1"/>
    <w:link w:val="14"/>
    <w:uiPriority w:val="99"/>
    <w:pPr>
      <w:tabs>
        <w:tab w:val="center" w:pos="4153"/>
        <w:tab w:val="right" w:pos="8306"/>
      </w:tabs>
    </w:pPr>
    <w:rPr>
      <w:lang w:val="en-GB"/>
    </w:rPr>
  </w:style>
  <w:style w:type="character" w:styleId="10">
    <w:name w:val="Hyperlink"/>
    <w:basedOn w:val="2"/>
    <w:uiPriority w:val="0"/>
    <w:rPr>
      <w:color w:val="0000FF"/>
      <w:u w:val="single"/>
    </w:r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link w:val="20"/>
    <w:qFormat/>
    <w:uiPriority w:val="0"/>
    <w:pPr>
      <w:jc w:val="center"/>
    </w:pPr>
    <w:rPr>
      <w:rFonts w:ascii="Arial" w:hAnsi="Arial"/>
      <w:b/>
      <w:lang w:eastAsia="ru-RU"/>
    </w:rPr>
  </w:style>
  <w:style w:type="character" w:customStyle="1" w:styleId="13">
    <w:name w:val="Body Text Char"/>
    <w:basedOn w:val="2"/>
    <w:link w:val="5"/>
    <w:uiPriority w:val="0"/>
    <w:rPr>
      <w:rFonts w:ascii="Times New Roman" w:hAnsi="Times New Roman" w:cs="Times New Roman"/>
      <w:sz w:val="24"/>
      <w:szCs w:val="24"/>
    </w:rPr>
  </w:style>
  <w:style w:type="character" w:customStyle="1" w:styleId="14">
    <w:name w:val="Footer Char"/>
    <w:basedOn w:val="2"/>
    <w:link w:val="9"/>
    <w:uiPriority w:val="99"/>
    <w:rPr>
      <w:rFonts w:ascii="Times New Roman" w:hAnsi="Times New Roman" w:cs="Times New Roman"/>
      <w:sz w:val="24"/>
      <w:szCs w:val="24"/>
      <w:lang w:val="en-GB"/>
    </w:rPr>
  </w:style>
  <w:style w:type="paragraph" w:styleId="15">
    <w:name w:val="List Paragraph"/>
    <w:basedOn w:val="1"/>
    <w:qFormat/>
    <w:uiPriority w:val="34"/>
    <w:pPr>
      <w:ind w:left="720"/>
      <w:contextualSpacing/>
    </w:pPr>
  </w:style>
  <w:style w:type="character" w:customStyle="1" w:styleId="16">
    <w:name w:val="Comment Text Char"/>
    <w:basedOn w:val="2"/>
    <w:link w:val="7"/>
    <w:semiHidden/>
    <w:uiPriority w:val="99"/>
    <w:rPr>
      <w:rFonts w:ascii="Times New Roman" w:hAnsi="Times New Roman" w:cs="Times New Roman"/>
      <w:sz w:val="20"/>
      <w:szCs w:val="20"/>
    </w:rPr>
  </w:style>
  <w:style w:type="character" w:customStyle="1" w:styleId="17">
    <w:name w:val="Comment Subject Char"/>
    <w:basedOn w:val="16"/>
    <w:link w:val="8"/>
    <w:semiHidden/>
    <w:uiPriority w:val="99"/>
    <w:rPr>
      <w:rFonts w:ascii="Times New Roman" w:hAnsi="Times New Roman" w:cs="Times New Roman"/>
      <w:b/>
      <w:bCs/>
      <w:sz w:val="20"/>
      <w:szCs w:val="20"/>
    </w:rPr>
  </w:style>
  <w:style w:type="character" w:customStyle="1" w:styleId="18">
    <w:name w:val="Balloon Text Char"/>
    <w:basedOn w:val="2"/>
    <w:link w:val="4"/>
    <w:semiHidden/>
    <w:uiPriority w:val="99"/>
    <w:rPr>
      <w:rFonts w:ascii="Segoe UI" w:hAnsi="Segoe UI" w:cs="Segoe UI"/>
      <w:sz w:val="18"/>
      <w:szCs w:val="18"/>
    </w:rPr>
  </w:style>
  <w:style w:type="character" w:customStyle="1" w:styleId="19">
    <w:name w:val="Unresolved Mention"/>
    <w:basedOn w:val="2"/>
    <w:semiHidden/>
    <w:unhideWhenUsed/>
    <w:uiPriority w:val="99"/>
    <w:rPr>
      <w:color w:val="605E5C"/>
      <w:shd w:val="clear" w:color="auto" w:fill="E1DFDD"/>
    </w:rPr>
  </w:style>
  <w:style w:type="character" w:customStyle="1" w:styleId="20">
    <w:name w:val="Title Char"/>
    <w:basedOn w:val="2"/>
    <w:link w:val="12"/>
    <w:uiPriority w:val="0"/>
    <w:rPr>
      <w:rFonts w:ascii="Arial" w:hAnsi="Arial" w:cs="Times New Roman"/>
      <w:b/>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19CD4-9877-4D99-B30E-40ECE5DE0249}">
  <ds:schemaRefs/>
</ds:datastoreItem>
</file>

<file path=docProps/app.xml><?xml version="1.0" encoding="utf-8"?>
<Properties xmlns="http://schemas.openxmlformats.org/officeDocument/2006/extended-properties" xmlns:vt="http://schemas.openxmlformats.org/officeDocument/2006/docPropsVTypes">
  <Template>Normal.dotm</Template>
  <Pages>4</Pages>
  <Words>6149</Words>
  <Characters>3506</Characters>
  <Lines>29</Lines>
  <Paragraphs>19</Paragraphs>
  <TotalTime>1</TotalTime>
  <ScaleCrop>false</ScaleCrop>
  <LinksUpToDate>false</LinksUpToDate>
  <CharactersWithSpaces>9636</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2021-02-25T15:32:00Z</dcterms:created>
  <dc:creator>Aija Jekabsone-Lasenberga</dc:creator>
  <cp:lastModifiedBy>Admin</cp:lastModifiedBy>
  <cp:lastPrinted>2020-08-04T05:36:00Z</cp:lastPrinted>
  <dcterms:modified xsi:type="dcterms:W3CDTF">2021-03-30T10:58:22Z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