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7FF8D2FF" w:rsidR="00256143" w:rsidRDefault="00256143" w:rsidP="00531408">
      <w:pPr>
        <w:spacing w:after="0" w:line="240" w:lineRule="auto"/>
        <w:rPr>
          <w:rFonts w:ascii="Times New Roman" w:eastAsia="Times New Roman" w:hAnsi="Times New Roman"/>
          <w:b/>
          <w:sz w:val="24"/>
          <w:szCs w:val="24"/>
        </w:rPr>
      </w:pPr>
    </w:p>
    <w:p w14:paraId="07C37587" w14:textId="77777777" w:rsidR="00123BBB" w:rsidRPr="00256143" w:rsidRDefault="00123BBB"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16C99570"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123BBB">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4F155208"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F92CD5">
        <w:rPr>
          <w:rFonts w:ascii="Times New Roman" w:eastAsia="Times New Roman" w:hAnsi="Times New Roman"/>
          <w:b/>
          <w:sz w:val="23"/>
          <w:szCs w:val="23"/>
          <w:lang w:eastAsia="lv-LV"/>
        </w:rPr>
        <w:t>B.Braun</w:t>
      </w:r>
      <w:proofErr w:type="spellEnd"/>
      <w:r w:rsidR="00F92CD5">
        <w:rPr>
          <w:rFonts w:ascii="Times New Roman" w:eastAsia="Times New Roman" w:hAnsi="Times New Roman"/>
          <w:b/>
          <w:sz w:val="23"/>
          <w:szCs w:val="23"/>
          <w:lang w:eastAsia="lv-LV"/>
        </w:rPr>
        <w:t xml:space="preserve"> </w:t>
      </w:r>
      <w:proofErr w:type="spellStart"/>
      <w:r w:rsidR="00F92CD5">
        <w:rPr>
          <w:rFonts w:ascii="Times New Roman" w:eastAsia="Times New Roman" w:hAnsi="Times New Roman"/>
          <w:b/>
          <w:sz w:val="23"/>
          <w:szCs w:val="23"/>
          <w:lang w:eastAsia="lv-LV"/>
        </w:rPr>
        <w:t>Medical</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sidR="00F92CD5">
        <w:rPr>
          <w:rFonts w:ascii="Times New Roman" w:eastAsia="Times New Roman" w:hAnsi="Times New Roman"/>
          <w:sz w:val="23"/>
          <w:szCs w:val="23"/>
          <w:lang w:eastAsia="lv-LV"/>
        </w:rPr>
        <w:t>3277955</w:t>
      </w:r>
      <w:r w:rsidRPr="006E1F00">
        <w:rPr>
          <w:rFonts w:ascii="Times New Roman" w:eastAsia="Times New Roman" w:hAnsi="Times New Roman"/>
          <w:sz w:val="23"/>
          <w:szCs w:val="23"/>
          <w:lang w:eastAsia="lv-LV"/>
        </w:rPr>
        <w:t xml:space="preserve">, kuru saskaņā ar statūtiem pārstāv </w:t>
      </w:r>
      <w:r w:rsidR="00123BBB">
        <w:rPr>
          <w:rFonts w:ascii="Times New Roman" w:eastAsia="Times New Roman" w:hAnsi="Times New Roman"/>
          <w:sz w:val="23"/>
          <w:szCs w:val="23"/>
          <w:lang w:eastAsia="lv-LV"/>
        </w:rPr>
        <w:t>valdes loceklis Aivars Gailītis</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23D58960"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FE2101">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FE2101">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FE2101">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2639A71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2.pielikums – piegādes līgums (projekts) uz __ (____) lap</w:t>
      </w:r>
      <w:r w:rsidR="00FE2101">
        <w:rPr>
          <w:rFonts w:ascii="Times New Roman" w:eastAsia="Times New Roman" w:hAnsi="Times New Roman"/>
          <w:sz w:val="23"/>
          <w:szCs w:val="23"/>
        </w:rPr>
        <w:t>ām</w:t>
      </w:r>
      <w:r>
        <w:rPr>
          <w:rFonts w:ascii="Times New Roman" w:eastAsia="Times New Roman" w:hAnsi="Times New Roman"/>
          <w:sz w:val="23"/>
          <w:szCs w:val="23"/>
        </w:rPr>
        <w:t>.</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422633C9"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F92CD5">
              <w:rPr>
                <w:rFonts w:ascii="Times New Roman" w:eastAsia="Times New Roman" w:hAnsi="Times New Roman"/>
                <w:b/>
                <w:bCs/>
                <w:sz w:val="24"/>
                <w:szCs w:val="24"/>
              </w:rPr>
              <w:t>B.Braun</w:t>
            </w:r>
            <w:proofErr w:type="spellEnd"/>
            <w:r w:rsidR="00F92CD5">
              <w:rPr>
                <w:rFonts w:ascii="Times New Roman" w:eastAsia="Times New Roman" w:hAnsi="Times New Roman"/>
                <w:b/>
                <w:bCs/>
                <w:sz w:val="24"/>
                <w:szCs w:val="24"/>
              </w:rPr>
              <w:t xml:space="preserve"> </w:t>
            </w:r>
            <w:proofErr w:type="spellStart"/>
            <w:r w:rsidR="00F92CD5">
              <w:rPr>
                <w:rFonts w:ascii="Times New Roman" w:eastAsia="Times New Roman" w:hAnsi="Times New Roman"/>
                <w:b/>
                <w:bCs/>
                <w:sz w:val="24"/>
                <w:szCs w:val="24"/>
              </w:rPr>
              <w:t>Medical</w:t>
            </w:r>
            <w:proofErr w:type="spellEnd"/>
            <w:r w:rsidRPr="00233E2B">
              <w:rPr>
                <w:rFonts w:ascii="Times New Roman" w:eastAsia="Times New Roman" w:hAnsi="Times New Roman"/>
                <w:b/>
                <w:bCs/>
                <w:sz w:val="24"/>
                <w:szCs w:val="24"/>
              </w:rPr>
              <w:t>”</w:t>
            </w:r>
          </w:p>
          <w:p w14:paraId="0DC9C734" w14:textId="248C6A46"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sidR="00F92CD5">
              <w:rPr>
                <w:rFonts w:ascii="Times New Roman" w:eastAsia="Times New Roman" w:hAnsi="Times New Roman"/>
                <w:sz w:val="24"/>
                <w:szCs w:val="24"/>
              </w:rPr>
              <w:t>3277955</w:t>
            </w:r>
          </w:p>
          <w:p w14:paraId="10EBCEB1" w14:textId="27DF94BA" w:rsidR="00233E2B" w:rsidRPr="00233E2B" w:rsidRDefault="00F92CD5"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Ūdeļu iela 16, Rīga, LV-1064</w:t>
            </w:r>
          </w:p>
          <w:p w14:paraId="416503A3" w14:textId="299C423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2232A">
              <w:rPr>
                <w:rFonts w:ascii="Times New Roman" w:eastAsia="Times New Roman" w:hAnsi="Times New Roman"/>
                <w:iCs/>
                <w:sz w:val="24"/>
                <w:szCs w:val="24"/>
              </w:rPr>
              <w:t>EB Banka</w:t>
            </w:r>
          </w:p>
          <w:p w14:paraId="5B496BEA" w14:textId="3D84045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2232A">
              <w:rPr>
                <w:rFonts w:ascii="Times New Roman" w:eastAsia="Times New Roman" w:hAnsi="Times New Roman"/>
                <w:sz w:val="24"/>
                <w:szCs w:val="24"/>
              </w:rPr>
              <w:t>UNLALV2X</w:t>
            </w:r>
          </w:p>
          <w:p w14:paraId="2ABDD8D6" w14:textId="7EB6A473"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LV5</w:t>
            </w:r>
            <w:r w:rsidR="00F92CD5">
              <w:rPr>
                <w:rFonts w:ascii="Times New Roman" w:eastAsia="Times New Roman" w:hAnsi="Times New Roman"/>
                <w:sz w:val="24"/>
                <w:szCs w:val="24"/>
              </w:rPr>
              <w:t>7</w:t>
            </w:r>
            <w:r w:rsidR="00D2232A">
              <w:rPr>
                <w:rFonts w:ascii="Times New Roman" w:eastAsia="Times New Roman" w:hAnsi="Times New Roman"/>
                <w:sz w:val="24"/>
                <w:szCs w:val="24"/>
              </w:rPr>
              <w:t>UNLA</w:t>
            </w:r>
            <w:r w:rsidR="00F92CD5">
              <w:rPr>
                <w:rFonts w:ascii="Times New Roman" w:eastAsia="Times New Roman" w:hAnsi="Times New Roman"/>
                <w:sz w:val="24"/>
                <w:szCs w:val="24"/>
              </w:rPr>
              <w:t>0002080467128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bookmarkStart w:id="2" w:name="_GoBack"/>
      <w:bookmarkEnd w:id="2"/>
    </w:p>
    <w:p w14:paraId="0F09F907" w14:textId="69A5226E"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77A79652"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123BBB">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34E65BB4"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123BBB">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55F692A3"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4E57BB">
        <w:rPr>
          <w:rFonts w:ascii="Times New Roman" w:eastAsia="Times New Roman" w:hAnsi="Times New Roman"/>
          <w:b/>
          <w:sz w:val="23"/>
          <w:szCs w:val="23"/>
        </w:rPr>
        <w:t>B.Braun</w:t>
      </w:r>
      <w:proofErr w:type="spellEnd"/>
      <w:r w:rsidR="004E57BB">
        <w:rPr>
          <w:rFonts w:ascii="Times New Roman" w:eastAsia="Times New Roman" w:hAnsi="Times New Roman"/>
          <w:b/>
          <w:sz w:val="23"/>
          <w:szCs w:val="23"/>
        </w:rPr>
        <w:t xml:space="preserve"> </w:t>
      </w:r>
      <w:proofErr w:type="spellStart"/>
      <w:r w:rsidR="004E57BB">
        <w:rPr>
          <w:rFonts w:ascii="Times New Roman" w:eastAsia="Times New Roman" w:hAnsi="Times New Roman"/>
          <w:b/>
          <w:sz w:val="23"/>
          <w:szCs w:val="23"/>
        </w:rPr>
        <w:t>Medical</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4E57BB">
        <w:rPr>
          <w:rFonts w:ascii="Times New Roman" w:hAnsi="Times New Roman"/>
          <w:sz w:val="23"/>
          <w:szCs w:val="23"/>
        </w:rPr>
        <w:t>3277955</w:t>
      </w:r>
      <w:r w:rsidR="00311A87" w:rsidRPr="00311A87">
        <w:rPr>
          <w:rFonts w:ascii="Times New Roman" w:hAnsi="Times New Roman"/>
          <w:sz w:val="23"/>
          <w:szCs w:val="23"/>
        </w:rPr>
        <w:t xml:space="preserve">, tās </w:t>
      </w:r>
      <w:r w:rsidR="00123BBB">
        <w:rPr>
          <w:rFonts w:ascii="Times New Roman" w:hAnsi="Times New Roman"/>
          <w:sz w:val="23"/>
          <w:szCs w:val="23"/>
        </w:rPr>
        <w:t>valdes locekļa Aivara Gailīša</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123BBB">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45CB92EB" w:rsidR="00D2232A" w:rsidRDefault="00311A87" w:rsidP="00C81F8F">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123BBB">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C81F8F">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C81F8F">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26770D15"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FE2101">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4E57BB" w:rsidRPr="00233E2B" w14:paraId="2062EB76" w14:textId="77777777" w:rsidTr="00512C8A">
        <w:trPr>
          <w:trHeight w:val="104"/>
        </w:trPr>
        <w:tc>
          <w:tcPr>
            <w:tcW w:w="4926" w:type="dxa"/>
          </w:tcPr>
          <w:p w14:paraId="06C9F2BC" w14:textId="77777777" w:rsidR="004E57BB" w:rsidRPr="00233E2B" w:rsidRDefault="004E57BB" w:rsidP="00512C8A">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0C71DB89" w14:textId="77777777" w:rsidR="004E57BB" w:rsidRPr="00233E2B" w:rsidRDefault="004E57BB" w:rsidP="00512C8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06FFC3F5" w14:textId="77777777" w:rsidR="004E57BB" w:rsidRPr="00233E2B" w:rsidRDefault="004E57BB" w:rsidP="00512C8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D0D2F6D"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1DE11C86"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601015CC"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64211A22"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64F48130"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130CEB6D"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71B07808"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19F9B708"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1BEF6595"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4A18B708"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313286B3" w14:textId="77777777" w:rsidR="004E57BB" w:rsidRDefault="004E57BB" w:rsidP="00512C8A">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A663DDE" w14:textId="77777777" w:rsidR="004E57B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3F605A5F" w14:textId="77777777" w:rsidR="004E57BB" w:rsidRDefault="004E57BB" w:rsidP="00512C8A">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6E77B790" w14:textId="77777777" w:rsidR="004E57BB" w:rsidRDefault="004E57BB" w:rsidP="00512C8A">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01CA1357" w14:textId="77777777" w:rsidR="004E57B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4054A62E"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0A7807B0"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39CB8E4E" w14:textId="77777777" w:rsidR="004E57BB" w:rsidRPr="00233E2B" w:rsidRDefault="004E57BB" w:rsidP="00512C8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511F15FC" w14:textId="77777777" w:rsidR="004E57BB" w:rsidRPr="00233E2B" w:rsidRDefault="004E57BB" w:rsidP="00512C8A">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B.Braun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Medical</w:t>
            </w:r>
            <w:proofErr w:type="spellEnd"/>
            <w:r w:rsidRPr="00233E2B">
              <w:rPr>
                <w:rFonts w:ascii="Times New Roman" w:eastAsia="Times New Roman" w:hAnsi="Times New Roman"/>
                <w:b/>
                <w:bCs/>
                <w:sz w:val="24"/>
                <w:szCs w:val="24"/>
              </w:rPr>
              <w:t>”</w:t>
            </w:r>
          </w:p>
          <w:p w14:paraId="309B419C" w14:textId="77777777" w:rsidR="004E57BB" w:rsidRPr="00233E2B" w:rsidRDefault="004E57BB" w:rsidP="00512C8A">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3277955</w:t>
            </w:r>
          </w:p>
          <w:p w14:paraId="4F30C813" w14:textId="77777777" w:rsidR="004E57BB" w:rsidRPr="00233E2B" w:rsidRDefault="004E57BB" w:rsidP="00512C8A">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Ūdeļu iela 16, Rīga, LV-1064</w:t>
            </w:r>
          </w:p>
          <w:p w14:paraId="1D7868E8" w14:textId="77777777" w:rsidR="004E57BB" w:rsidRPr="00233E2B" w:rsidRDefault="004E57BB" w:rsidP="00512C8A">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2F5D4441" w14:textId="77777777" w:rsidR="004E57BB" w:rsidRPr="00233E2B" w:rsidRDefault="004E57BB" w:rsidP="00512C8A">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UNLALV2X</w:t>
            </w:r>
          </w:p>
          <w:p w14:paraId="28103F64" w14:textId="77777777" w:rsidR="004E57BB" w:rsidRPr="00233E2B" w:rsidRDefault="004E57BB" w:rsidP="00512C8A">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LV57UNLA0002080467128</w:t>
            </w:r>
          </w:p>
          <w:p w14:paraId="125CA7A3"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0797D68F"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p>
          <w:p w14:paraId="670EE438"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415621FE" w14:textId="77777777" w:rsidR="004E57BB" w:rsidRPr="00233E2B" w:rsidRDefault="004E57BB" w:rsidP="00512C8A">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82D2" w14:textId="77777777" w:rsidR="008E6467" w:rsidRDefault="008E6467" w:rsidP="00362DCB">
      <w:pPr>
        <w:spacing w:after="0" w:line="240" w:lineRule="auto"/>
      </w:pPr>
      <w:r>
        <w:separator/>
      </w:r>
    </w:p>
  </w:endnote>
  <w:endnote w:type="continuationSeparator" w:id="0">
    <w:p w14:paraId="3F458A24" w14:textId="77777777" w:rsidR="008E6467" w:rsidRDefault="008E646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AC15" w14:textId="77777777" w:rsidR="008E6467" w:rsidRDefault="008E6467" w:rsidP="00362DCB">
      <w:pPr>
        <w:spacing w:after="0" w:line="240" w:lineRule="auto"/>
      </w:pPr>
      <w:r>
        <w:separator/>
      </w:r>
    </w:p>
  </w:footnote>
  <w:footnote w:type="continuationSeparator" w:id="0">
    <w:p w14:paraId="399450A5" w14:textId="77777777" w:rsidR="008E6467" w:rsidRDefault="008E6467"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BBB"/>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7BB"/>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54207"/>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E6467"/>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725"/>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1F8F"/>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19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1B7"/>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CD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101"/>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072B-D4FD-4A3E-99F1-A37BF74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18713</Words>
  <Characters>10667</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29322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2020-01-09T07:47:00Z</cp:lastPrinted>
  <dcterms:created xsi:type="dcterms:W3CDTF">2017-09-18T09:34:00Z</dcterms:created>
  <dcterms:modified xsi:type="dcterms:W3CDTF">2020-01-09T08:13:00Z</dcterms:modified>
</cp:coreProperties>
</file>