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Times New Roman" w:hAnsi="Times New Roman"/>
          <w:i/>
        </w:rPr>
      </w:pPr>
      <w:r>
        <w:rPr>
          <w:rFonts w:ascii="Times New Roman" w:hAnsi="Times New Roman"/>
        </w:rPr>
        <w:t xml:space="preserve">LĪGUMS Nr. </w:t>
      </w:r>
    </w:p>
    <w:p>
      <w:pPr>
        <w:jc w:val="center"/>
        <w:rPr>
          <w:b/>
          <w:lang w:val="lv-LV"/>
        </w:rPr>
      </w:pPr>
      <w:r>
        <w:rPr>
          <w:b/>
          <w:lang w:val="lv-LV"/>
        </w:rPr>
        <w:t>par medicīnas preces personāla individuālās aizsardzības nodrošināšanai</w:t>
      </w:r>
    </w:p>
    <w:p>
      <w:pPr>
        <w:jc w:val="center"/>
        <w:rPr>
          <w:b/>
          <w:lang w:val="lv-LV"/>
        </w:rPr>
      </w:pPr>
    </w:p>
    <w:p>
      <w:pPr>
        <w:tabs>
          <w:tab w:val="right" w:pos="9637"/>
        </w:tabs>
        <w:spacing w:after="240"/>
        <w:jc w:val="both"/>
        <w:rPr>
          <w:lang w:val="lv-LV"/>
        </w:rPr>
      </w:pPr>
      <w:r>
        <w:rPr>
          <w:bCs/>
          <w:lang w:val="lv-LV"/>
        </w:rPr>
        <w:t>Rīgā</w:t>
      </w:r>
      <w:r>
        <w:rPr>
          <w:lang w:val="lv-LV"/>
        </w:rPr>
        <w:t xml:space="preserve"> </w:t>
      </w:r>
    </w:p>
    <w:p>
      <w:pPr>
        <w:tabs>
          <w:tab w:val="right" w:pos="9637"/>
        </w:tabs>
        <w:spacing w:after="240"/>
        <w:jc w:val="center"/>
        <w:rPr>
          <w:bCs/>
          <w:lang w:val="lv-LV"/>
        </w:rPr>
      </w:pPr>
      <w:r>
        <w:rPr>
          <w:bCs/>
          <w:lang w:val="lv-LV"/>
        </w:rPr>
        <w:t>DOKUMENTA PARAKSTĪŠANAS DATUMS IR PĒDĒJĀ PIEVIENOTĀ DROŠA ELEKTRONISKĀ PARAKSTA UN TĀ LAIKA ZĪMOGA DATUMS</w:t>
      </w:r>
    </w:p>
    <w:p>
      <w:pPr>
        <w:spacing w:before="120" w:after="120"/>
        <w:ind w:firstLine="720"/>
        <w:jc w:val="both"/>
      </w:pP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szCs w:val="22"/>
          <w:lang w:val="lv-LV"/>
        </w:rPr>
      </w:pPr>
      <w:r>
        <w:rPr>
          <w:b/>
          <w:color w:val="363636"/>
          <w:lang w:val="lv-LV"/>
        </w:rPr>
        <w:t xml:space="preserve">SIA „Arbor Medical Korporācija” </w:t>
      </w:r>
      <w:r>
        <w:rPr>
          <w:lang w:val="lv-LV"/>
        </w:rPr>
        <w:t>reģistrācijas Nr. 40003547099, juridiskā adrese Meistaru iela 7, Valdlauči, Ķekavas pagasts, Ķekavas novads, LV-1076, kuru saskaņā ar statūtiem pārstāv valdes locekle Dace Rātfeldere</w:t>
      </w:r>
      <w:r>
        <w:rPr>
          <w:szCs w:val="22"/>
          <w:lang w:val="lv-LV"/>
        </w:rPr>
        <w:t xml:space="preserve"> (turpmāk – </w:t>
      </w:r>
      <w:r>
        <w:rPr>
          <w:iCs/>
          <w:szCs w:val="22"/>
          <w:lang w:val="lv-LV"/>
        </w:rPr>
        <w:t>Piegādātājs),</w:t>
      </w:r>
    </w:p>
    <w:p>
      <w:pPr>
        <w:spacing w:before="120" w:after="120"/>
        <w:ind w:firstLine="720"/>
        <w:jc w:val="both"/>
        <w:rPr>
          <w:szCs w:val="22"/>
          <w:lang w:val="lv-LV"/>
        </w:rPr>
      </w:pPr>
      <w:r>
        <w:rPr>
          <w:szCs w:val="22"/>
          <w:lang w:val="lv-LV"/>
        </w:rPr>
        <w:t xml:space="preserve">abi kopā turpmāk saukti – </w:t>
      </w:r>
      <w:r>
        <w:rPr>
          <w:bCs/>
          <w:iCs/>
          <w:szCs w:val="22"/>
          <w:lang w:val="lv-LV"/>
        </w:rPr>
        <w:t>Puses</w:t>
      </w:r>
      <w:r>
        <w:rPr>
          <w:szCs w:val="22"/>
          <w:lang w:val="lv-LV"/>
        </w:rPr>
        <w:t xml:space="preserve">, katrs atsevišķi </w:t>
      </w:r>
      <w:r>
        <w:rPr>
          <w:bCs/>
          <w:iCs/>
          <w:szCs w:val="22"/>
          <w:lang w:val="lv-LV"/>
        </w:rPr>
        <w:t>– Puse</w:t>
      </w:r>
      <w:r>
        <w:rPr>
          <w:szCs w:val="22"/>
          <w:lang w:val="lv-LV"/>
        </w:rPr>
        <w:t>,</w:t>
      </w:r>
    </w:p>
    <w:p>
      <w:pPr>
        <w:pStyle w:val="6"/>
        <w:spacing w:before="120" w:after="120"/>
      </w:pPr>
      <w:r>
        <w:t>pamatojoties uz RAKUS rīkotā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pPr>
        <w:numPr>
          <w:ilvl w:val="0"/>
          <w:numId w:val="1"/>
        </w:numPr>
        <w:spacing w:before="240" w:after="120"/>
        <w:ind w:left="425" w:hanging="425"/>
        <w:jc w:val="center"/>
        <w:rPr>
          <w:b/>
          <w:szCs w:val="22"/>
          <w:lang w:val="lv-LV"/>
        </w:rPr>
      </w:pPr>
      <w:r>
        <w:rPr>
          <w:b/>
          <w:szCs w:val="22"/>
          <w:lang w:val="lv-LV"/>
        </w:rPr>
        <w:t>LĪGUMA PRIEKŠMETS</w:t>
      </w:r>
    </w:p>
    <w:p>
      <w:pPr>
        <w:numPr>
          <w:ilvl w:val="1"/>
          <w:numId w:val="1"/>
        </w:numPr>
        <w:spacing w:before="120" w:after="120"/>
        <w:ind w:left="426" w:hanging="426"/>
        <w:jc w:val="both"/>
        <w:rPr>
          <w:szCs w:val="22"/>
          <w:lang w:val="lv-LV"/>
        </w:rPr>
      </w:pPr>
      <w:r>
        <w:rPr>
          <w:szCs w:val="22"/>
          <w:lang w:val="lv-LV"/>
        </w:rPr>
        <w:t xml:space="preserve">Līguma priekšmets ir </w:t>
      </w:r>
      <w:r>
        <w:rPr>
          <w:lang w:val="lv-LV"/>
        </w:rPr>
        <w:t>medicīnas preču personāla individuālās aizsardzības nodrošināšanai</w:t>
      </w:r>
      <w:r>
        <w:rPr>
          <w:szCs w:val="22"/>
          <w:lang w:val="lv-LV"/>
        </w:rPr>
        <w:t xml:space="preserve"> </w:t>
      </w:r>
      <w:r>
        <w:rPr>
          <w:lang w:val="lv-LV"/>
        </w:rPr>
        <w:t xml:space="preserve">(turpmāk – Preces vai Prece) </w:t>
      </w:r>
      <w:r>
        <w:rPr>
          <w:szCs w:val="22"/>
          <w:lang w:val="lv-LV"/>
        </w:rPr>
        <w:t xml:space="preserve">piegāde </w:t>
      </w:r>
      <w:r>
        <w:rPr>
          <w:lang w:val="lv-LV"/>
        </w:rPr>
        <w:t>Pircēja struktūrvienībām.</w:t>
      </w:r>
    </w:p>
    <w:p>
      <w:pPr>
        <w:numPr>
          <w:ilvl w:val="1"/>
          <w:numId w:val="1"/>
        </w:numPr>
        <w:spacing w:before="120" w:after="120"/>
        <w:ind w:left="426" w:hanging="426"/>
        <w:jc w:val="both"/>
        <w:rPr>
          <w:szCs w:val="22"/>
          <w:lang w:val="lv-LV"/>
        </w:rPr>
      </w:pPr>
      <w:r>
        <w:rPr>
          <w:szCs w:val="22"/>
          <w:lang w:val="lv-LV"/>
        </w:rPr>
        <w:t>Piegādātājs apņemas piegādāt Pircējam, bet Pircējs apņemas pieņemt un apmaksāt Piegādātāja pienācīgi piegādātās Preces, kuras noteiktas Līguma Pielikumā Nr.1.</w:t>
      </w:r>
    </w:p>
    <w:p>
      <w:pPr>
        <w:numPr>
          <w:ilvl w:val="1"/>
          <w:numId w:val="1"/>
        </w:numPr>
        <w:spacing w:before="120" w:after="120"/>
        <w:ind w:left="426" w:hanging="426"/>
        <w:jc w:val="both"/>
        <w:rPr>
          <w:szCs w:val="22"/>
          <w:lang w:val="lv-LV"/>
        </w:rPr>
      </w:pPr>
      <w:r>
        <w:rPr>
          <w:szCs w:val="22"/>
          <w:lang w:val="lv-LV"/>
        </w:rPr>
        <w:t>Līguma Pielikumā Nr.1 norādīts prognozējamais Preču daudzums visam līguma darbības laikam.</w:t>
      </w:r>
    </w:p>
    <w:p>
      <w:pPr>
        <w:numPr>
          <w:ilvl w:val="1"/>
          <w:numId w:val="1"/>
        </w:numPr>
        <w:spacing w:before="120" w:after="120"/>
        <w:ind w:left="426" w:hanging="426"/>
        <w:jc w:val="both"/>
        <w:rPr>
          <w:szCs w:val="22"/>
          <w:lang w:val="lv-LV"/>
        </w:rPr>
      </w:pPr>
      <w:r>
        <w:rPr>
          <w:szCs w:val="22"/>
          <w:lang w:val="lv-LV"/>
        </w:rPr>
        <w:t>Piegādātājam nav pretenziju, ka Pircējs iepērk tādu Preču daudzumu, kāds nepieciešams Pircēja darbības nodrošināšanai.</w:t>
      </w:r>
    </w:p>
    <w:p>
      <w:pPr>
        <w:numPr>
          <w:ilvl w:val="0"/>
          <w:numId w:val="2"/>
        </w:numPr>
        <w:tabs>
          <w:tab w:val="left" w:pos="513"/>
        </w:tabs>
        <w:spacing w:before="240" w:after="120"/>
        <w:ind w:left="425" w:hanging="425"/>
        <w:jc w:val="center"/>
        <w:rPr>
          <w:b/>
          <w:szCs w:val="22"/>
          <w:lang w:val="lv-LV"/>
        </w:rPr>
      </w:pPr>
      <w:r>
        <w:rPr>
          <w:b/>
          <w:szCs w:val="22"/>
          <w:lang w:val="lv-LV"/>
        </w:rPr>
        <w:t>PRECES CENA UN LĪGUMA SUMMA</w:t>
      </w:r>
    </w:p>
    <w:p>
      <w:pPr>
        <w:numPr>
          <w:ilvl w:val="1"/>
          <w:numId w:val="3"/>
        </w:numPr>
        <w:spacing w:before="120" w:after="120"/>
        <w:ind w:left="426" w:hanging="426"/>
        <w:jc w:val="both"/>
        <w:rPr>
          <w:szCs w:val="22"/>
          <w:lang w:val="lv-LV"/>
        </w:rPr>
      </w:pPr>
      <w:r>
        <w:rPr>
          <w:szCs w:val="22"/>
          <w:lang w:val="lv-LV"/>
        </w:rPr>
        <w:t xml:space="preserve">Preces cena tiek noteikta </w:t>
      </w:r>
      <w:r>
        <w:rPr>
          <w:i/>
          <w:szCs w:val="22"/>
          <w:lang w:val="lv-LV"/>
        </w:rPr>
        <w:t>euro</w:t>
      </w:r>
      <w:r>
        <w:rPr>
          <w:szCs w:val="22"/>
          <w:lang w:val="lv-LV"/>
        </w:rPr>
        <w:t>, atbilstoši Piegādātāja iesniegtajam piedāvājumam Konkursā un ir norādīta Līguma Pielikumā Nr. 1.</w:t>
      </w:r>
    </w:p>
    <w:p>
      <w:pPr>
        <w:numPr>
          <w:ilvl w:val="1"/>
          <w:numId w:val="3"/>
        </w:numPr>
        <w:spacing w:before="120" w:after="120"/>
        <w:ind w:left="426" w:hanging="426"/>
        <w:jc w:val="both"/>
        <w:rPr>
          <w:szCs w:val="22"/>
          <w:lang w:val="lv-LV"/>
        </w:rPr>
      </w:pPr>
      <w:r>
        <w:rPr>
          <w:szCs w:val="22"/>
          <w:lang w:val="lv-LV"/>
        </w:rPr>
        <w:t>Preces cenā ir iekļauti visi nodokļi un izdevumi, kas rodas Piegādātājam sakarā ar Preces ievešanu Latvijas Republikā un tās piegādi Pircējam saskaņā ar šo Līgumu.</w:t>
      </w:r>
    </w:p>
    <w:p>
      <w:pPr>
        <w:numPr>
          <w:ilvl w:val="1"/>
          <w:numId w:val="3"/>
        </w:numPr>
        <w:spacing w:before="120" w:after="120"/>
        <w:ind w:left="426" w:hanging="426"/>
        <w:jc w:val="both"/>
        <w:rPr>
          <w:szCs w:val="22"/>
          <w:lang w:val="lv-LV"/>
        </w:rPr>
      </w:pPr>
      <w:r>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pPr>
        <w:numPr>
          <w:ilvl w:val="1"/>
          <w:numId w:val="3"/>
        </w:numPr>
        <w:spacing w:before="120" w:after="120"/>
        <w:ind w:left="426" w:hanging="426"/>
        <w:jc w:val="both"/>
        <w:rPr>
          <w:szCs w:val="22"/>
          <w:lang w:val="lv-LV"/>
        </w:rPr>
      </w:pPr>
      <w:r>
        <w:rPr>
          <w:lang w:val="lv-LV"/>
        </w:rPr>
        <w:t xml:space="preserve">Līguma summa ir līdz </w:t>
      </w:r>
      <w:r>
        <w:rPr>
          <w:rFonts w:hint="default"/>
          <w:b/>
          <w:bCs/>
          <w:lang w:val="lv-LV"/>
        </w:rPr>
        <w:t>975</w:t>
      </w:r>
      <w:r>
        <w:rPr>
          <w:b/>
          <w:bCs/>
          <w:lang w:val="lv-LV"/>
        </w:rPr>
        <w:t xml:space="preserve">,00 </w:t>
      </w:r>
      <w:r>
        <w:rPr>
          <w:b/>
          <w:i/>
          <w:lang w:val="lv-LV"/>
        </w:rPr>
        <w:t>euro</w:t>
      </w:r>
      <w:r>
        <w:rPr>
          <w:b/>
          <w:lang w:val="lv-LV"/>
        </w:rPr>
        <w:t xml:space="preserve"> </w:t>
      </w:r>
      <w:r>
        <w:rPr>
          <w:lang w:val="lv-LV"/>
        </w:rPr>
        <w:t>(</w:t>
      </w:r>
      <w:r>
        <w:rPr>
          <w:rFonts w:hint="default"/>
          <w:lang w:val="lv-LV"/>
        </w:rPr>
        <w:t>deviņi</w:t>
      </w:r>
      <w:r>
        <w:rPr>
          <w:lang w:val="lv-LV"/>
        </w:rPr>
        <w:t xml:space="preserve"> simti </w:t>
      </w:r>
      <w:r>
        <w:rPr>
          <w:rFonts w:hint="default"/>
          <w:lang w:val="lv-LV"/>
        </w:rPr>
        <w:t>septiņ</w:t>
      </w:r>
      <w:r>
        <w:rPr>
          <w:lang w:val="lv-LV"/>
        </w:rPr>
        <w:t>desmit</w:t>
      </w:r>
      <w:r>
        <w:rPr>
          <w:rFonts w:hint="default"/>
          <w:lang w:val="lv-LV"/>
        </w:rPr>
        <w:t xml:space="preserve"> pieci</w:t>
      </w:r>
      <w:r>
        <w:rPr>
          <w:lang w:val="lv-LV"/>
        </w:rPr>
        <w:t xml:space="preserve"> </w:t>
      </w:r>
      <w:r>
        <w:rPr>
          <w:i/>
          <w:lang w:val="lv-LV"/>
        </w:rPr>
        <w:t>euro</w:t>
      </w:r>
      <w:r>
        <w:rPr>
          <w:lang w:val="lv-LV"/>
        </w:rPr>
        <w:t xml:space="preserve"> un 0 centu) bez pievienotās vērtības nodokļa (turpmāk – PVN). </w:t>
      </w:r>
      <w:r>
        <w:rPr>
          <w:color w:val="000000"/>
          <w:lang w:val="lv-LV" w:eastAsia="lv-LV"/>
        </w:rPr>
        <w:t xml:space="preserve">PVN Puses piemēro Latvijas Republikas normatīvajos aktos noteiktajā apmērā. </w:t>
      </w:r>
    </w:p>
    <w:p>
      <w:pPr>
        <w:numPr>
          <w:ilvl w:val="1"/>
          <w:numId w:val="3"/>
        </w:numPr>
        <w:spacing w:before="120" w:after="120"/>
        <w:ind w:left="426" w:hanging="426"/>
        <w:jc w:val="both"/>
        <w:rPr>
          <w:szCs w:val="22"/>
          <w:lang w:val="lv-LV"/>
        </w:rPr>
      </w:pPr>
      <w:r>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Pr>
          <w:color w:val="000000"/>
          <w:lang w:val="lv-LV" w:eastAsia="lv-LV"/>
        </w:rPr>
        <w:t>, no kura stājas spēkā.</w:t>
      </w:r>
    </w:p>
    <w:p>
      <w:pPr>
        <w:numPr>
          <w:ilvl w:val="1"/>
          <w:numId w:val="3"/>
        </w:numPr>
        <w:spacing w:before="120" w:after="120"/>
        <w:ind w:left="426" w:hanging="426"/>
        <w:jc w:val="both"/>
        <w:rPr>
          <w:szCs w:val="22"/>
          <w:lang w:val="lv-LV"/>
        </w:rPr>
      </w:pPr>
      <w:r>
        <w:rPr>
          <w:szCs w:val="22"/>
          <w:lang w:val="lv-LV"/>
        </w:rPr>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Pr>
          <w:rFonts w:eastAsia="Calibri"/>
          <w:lang w:val="lv-LV"/>
        </w:rPr>
        <w:t xml:space="preserve">kopsummu </w:t>
      </w:r>
      <w:r>
        <w:rPr>
          <w:rFonts w:hint="default" w:eastAsia="Calibri"/>
          <w:b/>
          <w:lang w:val="lv-LV"/>
        </w:rPr>
        <w:t>5 545</w:t>
      </w:r>
      <w:r>
        <w:rPr>
          <w:rFonts w:eastAsia="Calibri"/>
          <w:b/>
          <w:lang w:val="lv-LV"/>
        </w:rPr>
        <w:t>,00</w:t>
      </w:r>
      <w:r>
        <w:rPr>
          <w:b/>
          <w:i/>
          <w:lang w:val="lv-LV"/>
        </w:rPr>
        <w:t xml:space="preserve"> euro</w:t>
      </w:r>
      <w:r>
        <w:rPr>
          <w:rFonts w:eastAsia="Calibri"/>
          <w:lang w:val="lv-LV"/>
        </w:rPr>
        <w:t xml:space="preserve"> (</w:t>
      </w:r>
      <w:r>
        <w:rPr>
          <w:rFonts w:hint="default" w:eastAsia="Calibri"/>
          <w:lang w:val="lv-LV"/>
        </w:rPr>
        <w:t>pieci</w:t>
      </w:r>
      <w:r>
        <w:rPr>
          <w:lang w:val="lv-LV"/>
        </w:rPr>
        <w:t xml:space="preserve"> tūkstoši </w:t>
      </w:r>
      <w:r>
        <w:rPr>
          <w:rFonts w:hint="default"/>
          <w:lang w:val="lv-LV"/>
        </w:rPr>
        <w:t>pieci</w:t>
      </w:r>
      <w:r>
        <w:rPr>
          <w:lang w:val="lv-LV"/>
        </w:rPr>
        <w:t xml:space="preserve"> simti č</w:t>
      </w:r>
      <w:r>
        <w:rPr>
          <w:rFonts w:hint="default"/>
          <w:lang w:val="lv-LV"/>
        </w:rPr>
        <w:t>etrdesmit pieci</w:t>
      </w:r>
      <w:r>
        <w:rPr>
          <w:lang w:val="lv-LV"/>
        </w:rPr>
        <w:t xml:space="preserve"> </w:t>
      </w:r>
      <w:r>
        <w:rPr>
          <w:i/>
          <w:lang w:val="lv-LV"/>
        </w:rPr>
        <w:t>euro</w:t>
      </w:r>
      <w:r>
        <w:rPr>
          <w:lang w:val="lv-LV"/>
        </w:rPr>
        <w:t xml:space="preserve"> un 0 centu</w:t>
      </w:r>
      <w:r>
        <w:rPr>
          <w:rFonts w:eastAsia="Calibri"/>
          <w:lang w:val="lv-LV"/>
        </w:rPr>
        <w:t xml:space="preserve">) bez PVN.  </w:t>
      </w:r>
    </w:p>
    <w:p>
      <w:pPr>
        <w:numPr>
          <w:ilvl w:val="0"/>
          <w:numId w:val="2"/>
        </w:numPr>
        <w:spacing w:before="240" w:after="120"/>
        <w:ind w:left="425" w:hanging="425"/>
        <w:jc w:val="center"/>
        <w:rPr>
          <w:b/>
          <w:szCs w:val="22"/>
          <w:lang w:val="lv-LV"/>
        </w:rPr>
      </w:pPr>
      <w:r>
        <w:rPr>
          <w:b/>
          <w:szCs w:val="22"/>
          <w:lang w:val="lv-LV"/>
        </w:rPr>
        <w:t>LĪGUMA DARBĪBAS TERMIŅŠ</w:t>
      </w:r>
    </w:p>
    <w:p>
      <w:pPr>
        <w:numPr>
          <w:ilvl w:val="1"/>
          <w:numId w:val="4"/>
        </w:numPr>
        <w:spacing w:before="120" w:after="120"/>
        <w:ind w:left="426" w:hanging="426"/>
        <w:jc w:val="both"/>
        <w:rPr>
          <w:szCs w:val="22"/>
          <w:lang w:val="lv-LV"/>
        </w:rPr>
      </w:pPr>
      <w:r>
        <w:rPr>
          <w:szCs w:val="22"/>
          <w:lang w:val="lv-LV"/>
        </w:rPr>
        <w:t>Līgums stājas spēkā ar tā abpusējas parakstīšanas brīdi un ir spēkā 6 (sešus) kalendāros mēnešus.</w:t>
      </w:r>
    </w:p>
    <w:p>
      <w:pPr>
        <w:numPr>
          <w:ilvl w:val="1"/>
          <w:numId w:val="4"/>
        </w:numPr>
        <w:spacing w:before="120" w:after="120"/>
        <w:ind w:left="426" w:hanging="426"/>
        <w:jc w:val="both"/>
        <w:rPr>
          <w:szCs w:val="22"/>
          <w:lang w:val="lv-LV"/>
        </w:rPr>
      </w:pPr>
      <w:r>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pPr>
        <w:numPr>
          <w:ilvl w:val="0"/>
          <w:numId w:val="2"/>
        </w:numPr>
        <w:spacing w:before="240" w:after="120"/>
        <w:ind w:left="425" w:hanging="425"/>
        <w:jc w:val="center"/>
        <w:rPr>
          <w:b/>
          <w:szCs w:val="22"/>
          <w:lang w:val="lv-LV"/>
        </w:rPr>
      </w:pPr>
      <w:r>
        <w:rPr>
          <w:b/>
          <w:szCs w:val="22"/>
          <w:lang w:val="lv-LV"/>
        </w:rPr>
        <w:t>PRECES PIEGĀDES NOTEIKUMI UN PASŪTĪŠANAS KĀRTĪBA</w:t>
      </w:r>
    </w:p>
    <w:p>
      <w:pPr>
        <w:numPr>
          <w:ilvl w:val="1"/>
          <w:numId w:val="2"/>
        </w:numPr>
        <w:spacing w:before="120" w:after="120"/>
        <w:ind w:left="480" w:hanging="426"/>
        <w:jc w:val="both"/>
        <w:rPr>
          <w:szCs w:val="22"/>
          <w:lang w:val="lv-LV"/>
        </w:rPr>
      </w:pPr>
      <w:r>
        <w:rPr>
          <w:szCs w:val="22"/>
          <w:lang w:val="lv-LV"/>
        </w:rPr>
        <w:t>Piegādes noteikumi – DDP (INCOTERM 2020).</w:t>
      </w:r>
    </w:p>
    <w:p>
      <w:pPr>
        <w:numPr>
          <w:ilvl w:val="1"/>
          <w:numId w:val="2"/>
        </w:numPr>
        <w:spacing w:before="120" w:after="120"/>
        <w:ind w:left="480" w:hanging="426"/>
        <w:jc w:val="both"/>
        <w:rPr>
          <w:szCs w:val="22"/>
          <w:lang w:val="lv-LV"/>
        </w:rPr>
      </w:pPr>
      <w:r>
        <w:rPr>
          <w:szCs w:val="22"/>
          <w:lang w:val="lv-LV"/>
        </w:rPr>
        <w:t>Preces piegādes vieta:</w:t>
      </w:r>
      <w:r>
        <w:rPr>
          <w:rFonts w:ascii="Times New Roman" w:hAnsi="Times New Roman" w:eastAsia="Times New Roman"/>
          <w:sz w:val="24"/>
          <w:szCs w:val="24"/>
        </w:rPr>
        <w:t>VSIA “Paula Stradiņa klīniskā universitātes slimnīca” Pilsoņu iela 13, Rīga, LV – 1002</w:t>
      </w:r>
      <w:r>
        <w:rPr>
          <w:rFonts w:hint="default"/>
          <w:sz w:val="24"/>
          <w:szCs w:val="24"/>
          <w:lang w:val="lv-LV"/>
        </w:rPr>
        <w:t>.</w:t>
      </w:r>
    </w:p>
    <w:p>
      <w:pPr>
        <w:numPr>
          <w:ilvl w:val="1"/>
          <w:numId w:val="5"/>
        </w:numPr>
        <w:spacing w:before="120" w:after="120"/>
        <w:ind w:left="480" w:hanging="480"/>
        <w:jc w:val="both"/>
        <w:rPr>
          <w:lang w:val="lv-LV"/>
        </w:rPr>
      </w:pPr>
      <w:r>
        <w:rPr>
          <w:rFonts w:ascii="Times New Roman" w:hAnsi="Times New Roman" w:eastAsia="Times New Roman"/>
          <w:sz w:val="24"/>
          <w:szCs w:val="24"/>
        </w:rPr>
        <w:t xml:space="preserve">Preces pasūtīšanu veic elektroniski, pieprasījumu nosūtot uz Līguma </w:t>
      </w:r>
      <w:r>
        <w:rPr>
          <w:rFonts w:hint="default"/>
          <w:sz w:val="24"/>
          <w:szCs w:val="24"/>
          <w:lang w:val="lv-LV"/>
        </w:rPr>
        <w:t>4.4.2</w:t>
      </w:r>
      <w:r>
        <w:rPr>
          <w:rFonts w:ascii="Times New Roman" w:hAnsi="Times New Roman" w:eastAsia="Times New Roman"/>
          <w:sz w:val="24"/>
          <w:szCs w:val="24"/>
        </w:rPr>
        <w:t>.punktā norādītās kontaktpersonas e-pastu</w:t>
      </w:r>
      <w:r>
        <w:rPr>
          <w:rFonts w:hint="default"/>
          <w:sz w:val="24"/>
          <w:szCs w:val="24"/>
          <w:lang w:val="lv-LV"/>
        </w:rPr>
        <w:t>.</w:t>
      </w:r>
    </w:p>
    <w:p>
      <w:pPr>
        <w:numPr>
          <w:ilvl w:val="1"/>
          <w:numId w:val="5"/>
        </w:numPr>
        <w:spacing w:before="120" w:after="120"/>
        <w:ind w:left="480" w:hanging="480"/>
        <w:jc w:val="both"/>
        <w:rPr>
          <w:lang w:val="lv-LV"/>
        </w:rPr>
      </w:pPr>
      <w:r>
        <w:rPr>
          <w:lang w:val="lv-LV"/>
        </w:rPr>
        <w:t>Kontaktpersonas Līguma darbības laikā:</w:t>
      </w:r>
    </w:p>
    <w:p>
      <w:pPr>
        <w:numPr>
          <w:ilvl w:val="2"/>
          <w:numId w:val="5"/>
        </w:numPr>
        <w:spacing w:before="120" w:after="120"/>
        <w:ind w:left="709" w:hanging="709"/>
        <w:jc w:val="both"/>
        <w:rPr>
          <w:lang w:val="lv-LV"/>
        </w:rPr>
      </w:pPr>
      <w:r>
        <w:rPr>
          <w:lang w:val="lv-LV"/>
        </w:rPr>
        <w:t xml:space="preserve">No Pircēja puses: </w:t>
      </w:r>
      <w:r>
        <w:t xml:space="preserve">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2"/>
          <w:rFonts w:ascii="Times New Roman" w:hAnsi="Times New Roman" w:eastAsia="Times New Roman" w:cs="Times New Roman"/>
          <w:sz w:val="24"/>
          <w:szCs w:val="24"/>
          <w:lang w:eastAsia="lv-LV"/>
        </w:rPr>
        <w:t>andrejs.kanapuhins@stradini.lv</w:t>
      </w:r>
      <w:r>
        <w:rPr>
          <w:rStyle w:val="12"/>
          <w:rFonts w:ascii="Times New Roman" w:hAnsi="Times New Roman" w:eastAsia="Times New Roman" w:cs="Times New Roman"/>
          <w:sz w:val="24"/>
          <w:szCs w:val="24"/>
          <w:lang w:eastAsia="lv-LV"/>
        </w:rPr>
        <w:fldChar w:fldCharType="end"/>
      </w:r>
      <w:r>
        <w:rPr>
          <w:lang w:val="lv-LV"/>
        </w:rPr>
        <w:t xml:space="preserve"> ;</w:t>
      </w:r>
    </w:p>
    <w:p>
      <w:pPr>
        <w:numPr>
          <w:ilvl w:val="2"/>
          <w:numId w:val="5"/>
        </w:numPr>
        <w:spacing w:before="120" w:after="120"/>
        <w:ind w:left="709" w:hanging="709"/>
        <w:jc w:val="both"/>
        <w:rPr>
          <w:rFonts w:eastAsiaTheme="minorHAnsi"/>
          <w:lang w:val="lv-LV"/>
        </w:rPr>
      </w:pPr>
      <w:r>
        <w:rPr>
          <w:lang w:val="lv-LV"/>
        </w:rPr>
        <w:t xml:space="preserve">No Piegādātāja puses: produktu speciāliste Agnese Slava tālr. 67620126, fakss </w:t>
      </w:r>
      <w:r>
        <w:rPr>
          <w:color w:val="1A1A1A"/>
          <w:lang w:val="lv-LV"/>
        </w:rPr>
        <w:t>67620070</w:t>
      </w:r>
      <w:r>
        <w:rPr>
          <w:lang w:val="lv-LV"/>
        </w:rPr>
        <w:t xml:space="preserve">, e- pasti komunikācijai: </w:t>
      </w:r>
      <w:r>
        <w:fldChar w:fldCharType="begin"/>
      </w:r>
      <w:r>
        <w:instrText xml:space="preserve"> HYPERLINK "mailto:arbor@arbor.lv" </w:instrText>
      </w:r>
      <w:r>
        <w:fldChar w:fldCharType="separate"/>
      </w:r>
      <w:r>
        <w:rPr>
          <w:rStyle w:val="12"/>
          <w:rFonts w:eastAsia="Calibri"/>
          <w:kern w:val="2"/>
          <w:lang w:val="lv-LV" w:eastAsia="ar-SA"/>
        </w:rPr>
        <w:t>arbor@arbor.lv</w:t>
      </w:r>
      <w:r>
        <w:rPr>
          <w:rStyle w:val="12"/>
          <w:rFonts w:eastAsia="Calibri"/>
          <w:kern w:val="2"/>
          <w:lang w:val="lv-LV" w:eastAsia="ar-SA"/>
        </w:rPr>
        <w:fldChar w:fldCharType="end"/>
      </w:r>
      <w:r>
        <w:rPr>
          <w:rStyle w:val="12"/>
          <w:rFonts w:eastAsia="Calibri"/>
          <w:kern w:val="2"/>
          <w:lang w:val="lv-LV" w:eastAsia="ar-SA"/>
        </w:rPr>
        <w:t xml:space="preserve"> </w:t>
      </w:r>
      <w:r>
        <w:rPr>
          <w:rFonts w:eastAsia="Calibri"/>
          <w:kern w:val="2"/>
          <w:lang w:val="lv-LV" w:eastAsia="ar-SA"/>
        </w:rPr>
        <w:t xml:space="preserve">– </w:t>
      </w:r>
      <w:r>
        <w:rPr>
          <w:rFonts w:eastAsia="Calibri"/>
          <w:b/>
          <w:bCs/>
          <w:kern w:val="2"/>
          <w:lang w:val="lv-LV" w:eastAsia="ar-SA"/>
        </w:rPr>
        <w:t xml:space="preserve">pasūtījumiem, </w:t>
      </w:r>
      <w:r>
        <w:rPr>
          <w:rFonts w:eastAsia="Calibri"/>
          <w:kern w:val="2"/>
          <w:lang w:val="lv-LV" w:eastAsia="ar-SA"/>
        </w:rPr>
        <w:t>kā arī</w:t>
      </w:r>
      <w:r>
        <w:rPr>
          <w:rFonts w:eastAsia="Calibri"/>
          <w:b/>
          <w:bCs/>
          <w:kern w:val="2"/>
          <w:lang w:val="lv-LV" w:eastAsia="ar-SA"/>
        </w:rPr>
        <w:t xml:space="preserve"> </w:t>
      </w:r>
      <w:r>
        <w:rPr>
          <w:rFonts w:eastAsia="Calibri"/>
          <w:kern w:val="2"/>
          <w:lang w:val="lv-LV" w:eastAsia="ar-SA"/>
        </w:rPr>
        <w:t xml:space="preserve">tehniskos jautājumos par precēm, to specifikāciju; </w:t>
      </w:r>
      <w:r>
        <w:fldChar w:fldCharType="begin"/>
      </w:r>
      <w:r>
        <w:instrText xml:space="preserve"> HYPERLINK "mailto:ligumi@arbor.lv" </w:instrText>
      </w:r>
      <w:r>
        <w:fldChar w:fldCharType="separate"/>
      </w:r>
      <w:r>
        <w:rPr>
          <w:rStyle w:val="12"/>
          <w:rFonts w:eastAsia="Calibri"/>
          <w:kern w:val="2"/>
          <w:lang w:val="lv-LV" w:eastAsia="ar-SA"/>
        </w:rPr>
        <w:t>ligumi@arbor.lv</w:t>
      </w:r>
      <w:r>
        <w:rPr>
          <w:rStyle w:val="12"/>
          <w:rFonts w:eastAsia="Calibri"/>
          <w:kern w:val="2"/>
          <w:lang w:val="lv-LV" w:eastAsia="ar-SA"/>
        </w:rPr>
        <w:fldChar w:fldCharType="end"/>
      </w:r>
      <w:r>
        <w:rPr>
          <w:rStyle w:val="12"/>
          <w:rFonts w:eastAsia="Calibri"/>
          <w:kern w:val="2"/>
          <w:lang w:val="lv-LV" w:eastAsia="ar-SA"/>
        </w:rPr>
        <w:t xml:space="preserve"> </w:t>
      </w:r>
      <w:r>
        <w:rPr>
          <w:rFonts w:eastAsia="Calibri"/>
          <w:kern w:val="2"/>
          <w:lang w:val="lv-LV" w:eastAsia="ar-SA"/>
        </w:rPr>
        <w:t>– par līguma dokumentāciju.</w:t>
      </w:r>
    </w:p>
    <w:p>
      <w:pPr>
        <w:spacing w:before="120" w:after="120"/>
        <w:ind w:left="709"/>
        <w:jc w:val="both"/>
        <w:rPr>
          <w:lang w:val="lv-LV"/>
        </w:rPr>
      </w:pPr>
      <w:r>
        <w:rPr>
          <w:lang w:val="lv-LV"/>
        </w:rPr>
        <w:t xml:space="preserve"> </w:t>
      </w:r>
    </w:p>
    <w:p>
      <w:pPr>
        <w:numPr>
          <w:ilvl w:val="0"/>
          <w:numId w:val="2"/>
        </w:numPr>
        <w:spacing w:before="240" w:after="120"/>
        <w:ind w:left="357" w:hanging="357"/>
        <w:jc w:val="center"/>
        <w:rPr>
          <w:b/>
          <w:szCs w:val="22"/>
          <w:lang w:val="lv-LV"/>
        </w:rPr>
      </w:pPr>
      <w:r>
        <w:rPr>
          <w:b/>
          <w:szCs w:val="22"/>
          <w:lang w:val="lv-LV"/>
        </w:rPr>
        <w:t>PRECES KVALITĀTE</w:t>
      </w:r>
    </w:p>
    <w:p>
      <w:pPr>
        <w:pStyle w:val="20"/>
        <w:numPr>
          <w:ilvl w:val="1"/>
          <w:numId w:val="2"/>
        </w:numPr>
        <w:spacing w:before="120" w:after="120"/>
        <w:ind w:left="567" w:hanging="567"/>
        <w:contextualSpacing w:val="0"/>
        <w:jc w:val="both"/>
        <w:rPr>
          <w:lang w:val="lv-LV"/>
        </w:rPr>
      </w:pPr>
      <w:r>
        <w:rPr>
          <w:lang w:val="lv-LV"/>
        </w:rPr>
        <w:t xml:space="preserve">Piegādātājs apņemas piegādāt Preci pienācīgā kvalitātē un atbilstošā iepakojumā. </w:t>
      </w:r>
    </w:p>
    <w:p>
      <w:pPr>
        <w:pStyle w:val="20"/>
        <w:numPr>
          <w:ilvl w:val="1"/>
          <w:numId w:val="2"/>
        </w:numPr>
        <w:spacing w:before="120" w:after="120"/>
        <w:ind w:left="567" w:hanging="567"/>
        <w:contextualSpacing w:val="0"/>
        <w:jc w:val="both"/>
        <w:rPr>
          <w:lang w:val="lv-LV"/>
        </w:rPr>
      </w:pPr>
      <w:r>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pPr>
        <w:pStyle w:val="20"/>
        <w:numPr>
          <w:ilvl w:val="1"/>
          <w:numId w:val="2"/>
        </w:numPr>
        <w:spacing w:before="120" w:after="120"/>
        <w:ind w:left="567" w:hanging="567"/>
        <w:contextualSpacing w:val="0"/>
        <w:jc w:val="both"/>
        <w:rPr>
          <w:lang w:val="lv-LV"/>
        </w:rPr>
      </w:pPr>
      <w:r>
        <w:rPr>
          <w:lang w:val="lv-LV"/>
        </w:rPr>
        <w:t>Nekvalitatīvu, bojātu un pasūtījumam neatbilstošu Preci Piegādātājs apmaina pret atbilstošu Preci divu darba dienu laikā pēc paziņojuma saņemšanas no Pircēja. Izdevumus, kas saistīti ar Preču apmaiņu, sedz Piegādātājs.</w:t>
      </w:r>
    </w:p>
    <w:p>
      <w:pPr>
        <w:pStyle w:val="20"/>
        <w:numPr>
          <w:ilvl w:val="1"/>
          <w:numId w:val="2"/>
        </w:numPr>
        <w:spacing w:before="120" w:after="120"/>
        <w:ind w:left="567" w:hanging="567"/>
        <w:contextualSpacing w:val="0"/>
        <w:jc w:val="both"/>
        <w:rPr>
          <w:lang w:val="lv-LV"/>
        </w:rPr>
      </w:pPr>
      <w:r>
        <w:rPr>
          <w:lang w:val="lv-LV"/>
        </w:rPr>
        <w:t>Precēm jābūt marķētām, ar instrukciju latviešu valodā atbilstoši spēkā esošiem normatīvajiem aktiem.</w:t>
      </w:r>
    </w:p>
    <w:p>
      <w:pPr>
        <w:numPr>
          <w:ilvl w:val="0"/>
          <w:numId w:val="2"/>
        </w:numPr>
        <w:spacing w:before="240" w:after="120"/>
        <w:ind w:left="357" w:hanging="357"/>
        <w:jc w:val="center"/>
        <w:rPr>
          <w:b/>
          <w:szCs w:val="22"/>
          <w:lang w:val="lv-LV"/>
        </w:rPr>
      </w:pPr>
      <w:r>
        <w:rPr>
          <w:b/>
          <w:szCs w:val="22"/>
          <w:lang w:val="lv-LV"/>
        </w:rPr>
        <w:t>PRECES PIEGĀDES UN SAŅEMŠANAS KĀRTĪBA</w:t>
      </w:r>
    </w:p>
    <w:p>
      <w:pPr>
        <w:pStyle w:val="20"/>
        <w:numPr>
          <w:ilvl w:val="1"/>
          <w:numId w:val="2"/>
        </w:numPr>
        <w:spacing w:before="120" w:after="120"/>
        <w:ind w:left="567" w:hanging="567"/>
        <w:contextualSpacing w:val="0"/>
        <w:jc w:val="both"/>
        <w:rPr>
          <w:lang w:val="lv-LV"/>
        </w:rPr>
      </w:pPr>
      <w:r>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pPr>
        <w:pStyle w:val="20"/>
        <w:numPr>
          <w:ilvl w:val="1"/>
          <w:numId w:val="2"/>
        </w:numPr>
        <w:spacing w:before="120" w:after="120"/>
        <w:ind w:left="567" w:hanging="567"/>
        <w:contextualSpacing w:val="0"/>
        <w:jc w:val="both"/>
        <w:rPr>
          <w:lang w:val="lv-LV"/>
        </w:rPr>
      </w:pPr>
      <w:r>
        <w:rPr>
          <w:lang w:val="lv-LV"/>
        </w:rPr>
        <w:t xml:space="preserve">Piegādātājs izpilda pasūtījumus, piegādājot visas pasūtījumos norādītās Preces vienas darba dienas laikā no pasūtījuma izdarīšanas dienas, ja vien Puses konkrētajā pasūtījumā nav vienojušās citādi. </w:t>
      </w:r>
    </w:p>
    <w:p>
      <w:pPr>
        <w:pStyle w:val="20"/>
        <w:numPr>
          <w:ilvl w:val="1"/>
          <w:numId w:val="2"/>
        </w:numPr>
        <w:spacing w:before="120" w:after="120"/>
        <w:ind w:left="567" w:hanging="567"/>
        <w:contextualSpacing w:val="0"/>
        <w:jc w:val="both"/>
        <w:rPr>
          <w:lang w:val="lv-LV"/>
        </w:rPr>
      </w:pPr>
      <w:r>
        <w:rPr>
          <w:lang w:val="lv-LV"/>
        </w:rPr>
        <w:t>Preces piegādi, izkraušanu un novietošanu Pircēja telpās, kuras norādītas šī Līguma 4.2.punktā, nodrošina Piegādātājs, izmantojot savu transportu un darbaspēku. Piegādātājs</w:t>
      </w:r>
      <w:r>
        <w:rPr>
          <w:b/>
          <w:lang w:val="lv-LV"/>
        </w:rPr>
        <w:t xml:space="preserve"> </w:t>
      </w:r>
      <w:r>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pPr>
        <w:pStyle w:val="20"/>
        <w:numPr>
          <w:ilvl w:val="1"/>
          <w:numId w:val="2"/>
        </w:numPr>
        <w:spacing w:before="120" w:after="120"/>
        <w:ind w:left="567" w:hanging="567"/>
        <w:contextualSpacing w:val="0"/>
        <w:jc w:val="both"/>
        <w:rPr>
          <w:b/>
          <w:bCs/>
        </w:rPr>
      </w:pPr>
      <w:r>
        <w:rPr>
          <w:lang w:val="lv-LV"/>
        </w:rPr>
        <w:t>P</w:t>
      </w:r>
      <w:r>
        <w:rPr>
          <w:rFonts w:ascii="Times New Roman" w:hAnsi="Times New Roman" w:eastAsia="Times New Roman"/>
          <w:sz w:val="24"/>
          <w:szCs w:val="24"/>
        </w:rPr>
        <w:t>uses vienojas, ka Piegādātājs rēķin</w:t>
      </w:r>
      <w:bookmarkStart w:id="0" w:name="_GoBack"/>
      <w:bookmarkEnd w:id="0"/>
      <w:r>
        <w:rPr>
          <w:rFonts w:ascii="Times New Roman" w:hAnsi="Times New Roman" w:eastAsia="Times New Roman"/>
          <w:sz w:val="24"/>
          <w:szCs w:val="24"/>
        </w:rPr>
        <w:t xml:space="preserve">us un aktus par savstarpējo norēķinu salīdzināšanu sagatavo elektroniskā formā un tie būs derīgi bez paraksta un zīmoga. Rēķini un akti par savstarpējo norēķinu salīdzināšanu tiek nosūtīti elektroniski uz Pasūtītāja elektronisko pasta adresi: </w:t>
      </w:r>
      <w:r>
        <w:rPr>
          <w:rFonts w:ascii="Times New Roman" w:hAnsi="Times New Roman" w:eastAsia="Times New Roman"/>
          <w:color w:val="0000FF"/>
          <w:sz w:val="24"/>
          <w:szCs w:val="24"/>
          <w:u w:val="single"/>
        </w:rPr>
        <w:fldChar w:fldCharType="begin"/>
      </w:r>
      <w:r>
        <w:rPr>
          <w:rFonts w:ascii="Times New Roman" w:hAnsi="Times New Roman" w:eastAsia="Times New Roman"/>
          <w:color w:val="0000FF"/>
          <w:sz w:val="24"/>
          <w:szCs w:val="24"/>
          <w:u w:val="single"/>
        </w:rPr>
        <w:instrText xml:space="preserve"> HYPERLINK "mailto:rekini@stradini.lv" </w:instrText>
      </w:r>
      <w:r>
        <w:rPr>
          <w:rFonts w:ascii="Times New Roman" w:hAnsi="Times New Roman" w:eastAsia="Times New Roman"/>
          <w:color w:val="0000FF"/>
          <w:sz w:val="24"/>
          <w:szCs w:val="24"/>
          <w:u w:val="single"/>
        </w:rPr>
        <w:fldChar w:fldCharType="separate"/>
      </w:r>
      <w:r>
        <w:rPr>
          <w:rFonts w:ascii="Times New Roman" w:hAnsi="Times New Roman" w:eastAsia="Times New Roman"/>
          <w:color w:val="0000FF"/>
          <w:sz w:val="24"/>
          <w:szCs w:val="24"/>
          <w:u w:val="single"/>
        </w:rPr>
        <w:t>rekini@stradini.lv</w:t>
      </w:r>
      <w:r>
        <w:rPr>
          <w:rFonts w:ascii="Times New Roman" w:hAnsi="Times New Roman" w:eastAsia="Times New Roman"/>
          <w:color w:val="0000FF"/>
          <w:sz w:val="24"/>
          <w:szCs w:val="24"/>
          <w:u w:val="single"/>
        </w:rPr>
        <w:fldChar w:fldCharType="end"/>
      </w:r>
      <w:r>
        <w:rPr>
          <w:rFonts w:ascii="Times New Roman" w:hAnsi="Times New Roman" w:eastAsia="Times New Roman"/>
          <w:color w:val="0000FF"/>
          <w:sz w:val="24"/>
          <w:szCs w:val="24"/>
          <w:u w:val="single"/>
        </w:rPr>
        <w:t>.</w:t>
      </w:r>
    </w:p>
    <w:p>
      <w:pPr>
        <w:pStyle w:val="20"/>
        <w:numPr>
          <w:ilvl w:val="1"/>
          <w:numId w:val="2"/>
        </w:numPr>
        <w:spacing w:before="120" w:after="120"/>
        <w:ind w:left="567" w:hanging="567"/>
        <w:contextualSpacing w:val="0"/>
        <w:jc w:val="both"/>
        <w:rPr>
          <w:lang w:val="lv-LV"/>
        </w:rPr>
      </w:pPr>
      <w:r>
        <w:rPr>
          <w:lang w:val="lv-LV"/>
        </w:rPr>
        <w:t>Preču pavadzīmēs-rēķinos tiek fiksēts piegādātās Preces daudzums un cena atbilstoši šā Līguma pielikumam Nr.1.</w:t>
      </w:r>
    </w:p>
    <w:p>
      <w:pPr>
        <w:pStyle w:val="20"/>
        <w:numPr>
          <w:ilvl w:val="1"/>
          <w:numId w:val="2"/>
        </w:numPr>
        <w:spacing w:before="120" w:after="120"/>
        <w:ind w:left="567" w:hanging="567"/>
        <w:contextualSpacing w:val="0"/>
        <w:jc w:val="both"/>
        <w:rPr>
          <w:rFonts w:eastAsia="Calibri"/>
          <w:lang w:val="lv-LV"/>
        </w:rPr>
      </w:pPr>
      <w:r>
        <w:rPr>
          <w:lang w:val="lv-LV"/>
        </w:rPr>
        <w:t>Gadījumā, ja Piegādātājs nespēj piegādāt kādu Preci Līgumā noteiktajā kārtībā vai termiņā, vai atsakās piegādāt Preces par Līguma Pielikumā Nr. 1 norādītajām cenām, vaiPircējs konstatē, ka Prece neatbilst Pircēja noteiktajām prasībām</w:t>
      </w:r>
      <w:r>
        <w:rPr>
          <w:rFonts w:eastAsia="Calibri"/>
          <w:lang w:val="lv-LV"/>
        </w:rPr>
        <w:t xml:space="preserve">, Pircējam ir tiesības pasūtīt Preci no nākamā piegādātāja, kurš piedāvājis nākamo zemāko cenu </w:t>
      </w:r>
      <w:r>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Pr>
          <w:rFonts w:eastAsia="Calibri"/>
          <w:lang w:val="lv-LV"/>
        </w:rPr>
        <w:t>.</w:t>
      </w:r>
    </w:p>
    <w:p>
      <w:pPr>
        <w:pStyle w:val="20"/>
        <w:numPr>
          <w:ilvl w:val="1"/>
          <w:numId w:val="2"/>
        </w:numPr>
        <w:spacing w:before="120" w:after="120"/>
        <w:ind w:left="567" w:hanging="567"/>
        <w:contextualSpacing w:val="0"/>
        <w:jc w:val="both"/>
        <w:rPr>
          <w:rFonts w:eastAsia="Calibri"/>
          <w:lang w:val="lv-LV"/>
        </w:rPr>
      </w:pPr>
      <w:r>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pPr>
        <w:numPr>
          <w:ilvl w:val="0"/>
          <w:numId w:val="2"/>
        </w:numPr>
        <w:spacing w:before="240" w:after="120"/>
        <w:ind w:left="357" w:hanging="357"/>
        <w:jc w:val="center"/>
        <w:rPr>
          <w:b/>
          <w:szCs w:val="22"/>
          <w:lang w:val="lv-LV"/>
        </w:rPr>
      </w:pPr>
      <w:r>
        <w:rPr>
          <w:b/>
          <w:szCs w:val="22"/>
          <w:lang w:val="lv-LV"/>
        </w:rPr>
        <w:t>NORĒĶINU KĀRTĪBA</w:t>
      </w:r>
    </w:p>
    <w:p>
      <w:pPr>
        <w:numPr>
          <w:ilvl w:val="1"/>
          <w:numId w:val="2"/>
        </w:numPr>
        <w:tabs>
          <w:tab w:val="left" w:pos="426"/>
        </w:tabs>
        <w:spacing w:before="120" w:after="120"/>
        <w:ind w:left="567" w:hanging="567"/>
        <w:jc w:val="both"/>
        <w:rPr>
          <w:szCs w:val="22"/>
          <w:lang w:val="lv-LV"/>
        </w:rPr>
      </w:pPr>
      <w:r>
        <w:rPr>
          <w:szCs w:val="22"/>
          <w:lang w:val="lv-LV"/>
        </w:rPr>
        <w:t xml:space="preserve">  </w:t>
      </w:r>
      <w:r>
        <w:rPr>
          <w:rFonts w:eastAsia="Calibri"/>
          <w:lang w:val="lv-LV"/>
        </w:rPr>
        <w:t>Pircējs veic apmaksu 60</w:t>
      </w:r>
      <w:r>
        <w:rPr>
          <w:szCs w:val="22"/>
          <w:lang w:val="lv-LV"/>
        </w:rPr>
        <w:t xml:space="preserve"> (sešdesmit) dienu laikā pēc Preču pavadzīmes-rēķina abpusējas parakstīšanas.</w:t>
      </w:r>
    </w:p>
    <w:p>
      <w:pPr>
        <w:numPr>
          <w:ilvl w:val="1"/>
          <w:numId w:val="2"/>
        </w:numPr>
        <w:tabs>
          <w:tab w:val="left" w:pos="567"/>
        </w:tabs>
        <w:spacing w:before="120" w:after="120"/>
        <w:ind w:left="567" w:hanging="567"/>
        <w:jc w:val="both"/>
        <w:rPr>
          <w:szCs w:val="22"/>
          <w:lang w:val="lv-LV"/>
        </w:rPr>
      </w:pPr>
      <w:r>
        <w:rPr>
          <w:szCs w:val="22"/>
          <w:lang w:val="lv-LV"/>
        </w:rPr>
        <w:t>Pirkumu apmaksa tiek veikta ar bezskaidras naudas norēķiniem, pirkuma maksu ieskaitot Piegādātāja norādītajā bankas kontā.</w:t>
      </w:r>
    </w:p>
    <w:p>
      <w:pPr>
        <w:numPr>
          <w:ilvl w:val="1"/>
          <w:numId w:val="2"/>
        </w:numPr>
        <w:tabs>
          <w:tab w:val="left" w:pos="567"/>
        </w:tabs>
        <w:spacing w:before="120" w:after="120"/>
        <w:ind w:left="567" w:hanging="567"/>
        <w:jc w:val="both"/>
        <w:rPr>
          <w:szCs w:val="22"/>
          <w:lang w:val="lv-LV"/>
        </w:rPr>
      </w:pPr>
      <w:r>
        <w:rPr>
          <w:szCs w:val="22"/>
          <w:lang w:val="lv-LV"/>
        </w:rPr>
        <w:t xml:space="preserve">Līgumā noteiktie maksājumi uzskatāmi par izdarītiem ar brīdi, kad attiecīgā maksājuma izdarītājs ir veicis pārskaitījumu uz Līgumā norādīto norēķinu kontu. </w:t>
      </w:r>
    </w:p>
    <w:p>
      <w:pPr>
        <w:tabs>
          <w:tab w:val="left" w:pos="567"/>
        </w:tabs>
        <w:spacing w:before="120" w:after="120"/>
        <w:ind w:left="567"/>
        <w:jc w:val="both"/>
        <w:rPr>
          <w:szCs w:val="22"/>
          <w:lang w:val="lv-LV"/>
        </w:rPr>
      </w:pPr>
    </w:p>
    <w:p>
      <w:pPr>
        <w:numPr>
          <w:ilvl w:val="0"/>
          <w:numId w:val="2"/>
        </w:numPr>
        <w:spacing w:before="240" w:after="120"/>
        <w:ind w:left="357" w:hanging="357"/>
        <w:jc w:val="center"/>
        <w:rPr>
          <w:b/>
          <w:szCs w:val="22"/>
          <w:lang w:val="lv-LV"/>
        </w:rPr>
      </w:pPr>
      <w:r>
        <w:rPr>
          <w:b/>
          <w:szCs w:val="22"/>
          <w:lang w:val="lv-LV"/>
        </w:rPr>
        <w:t>PUŠU TIESĪBAS UN PIENĀKUMI</w:t>
      </w:r>
    </w:p>
    <w:p>
      <w:pPr>
        <w:numPr>
          <w:ilvl w:val="1"/>
          <w:numId w:val="6"/>
        </w:numPr>
        <w:tabs>
          <w:tab w:val="left" w:pos="567"/>
        </w:tabs>
        <w:spacing w:before="120" w:after="120"/>
        <w:ind w:left="0" w:firstLine="0"/>
        <w:jc w:val="both"/>
        <w:rPr>
          <w:lang w:val="lv-LV"/>
        </w:rPr>
      </w:pPr>
      <w:r>
        <w:rPr>
          <w:lang w:val="lv-LV"/>
        </w:rPr>
        <w:t xml:space="preserve">Piegādātājam ir pienākums: </w:t>
      </w:r>
    </w:p>
    <w:p>
      <w:pPr>
        <w:numPr>
          <w:ilvl w:val="2"/>
          <w:numId w:val="2"/>
        </w:numPr>
        <w:spacing w:before="120" w:after="120"/>
        <w:ind w:left="1418" w:hanging="709"/>
        <w:jc w:val="both"/>
        <w:rPr>
          <w:lang w:val="lv-LV"/>
        </w:rPr>
      </w:pPr>
      <w:r>
        <w:rPr>
          <w:lang w:val="lv-LV"/>
        </w:rPr>
        <w:t xml:space="preserve">veikt savlaicīgu Preces piegādi saskaņā ar šī Līguma noteikumiem; </w:t>
      </w:r>
    </w:p>
    <w:p>
      <w:pPr>
        <w:numPr>
          <w:ilvl w:val="2"/>
          <w:numId w:val="2"/>
        </w:numPr>
        <w:spacing w:before="120" w:after="120"/>
        <w:ind w:left="1418" w:hanging="709"/>
        <w:jc w:val="both"/>
        <w:rPr>
          <w:lang w:val="lv-LV"/>
        </w:rPr>
      </w:pPr>
      <w:r>
        <w:rPr>
          <w:lang w:val="lv-LV"/>
        </w:rPr>
        <w:t xml:space="preserve">piegādāt Preces atbilstoši Piegādātāja Konkursam izteiktajam piedāvājumam; </w:t>
      </w:r>
    </w:p>
    <w:p>
      <w:pPr>
        <w:numPr>
          <w:ilvl w:val="2"/>
          <w:numId w:val="2"/>
        </w:numPr>
        <w:spacing w:before="120" w:after="120"/>
        <w:ind w:left="1418" w:hanging="709"/>
        <w:jc w:val="both"/>
        <w:rPr>
          <w:lang w:val="lv-LV"/>
        </w:rPr>
      </w:pPr>
      <w:r>
        <w:rPr>
          <w:lang w:val="lv-LV"/>
        </w:rPr>
        <w:t xml:space="preserve">piegādāt Preces ne dārgāk par Līguma Pielikumā Nr.1 norādītajām cenām visā Līguma darbības laikā; </w:t>
      </w:r>
    </w:p>
    <w:p>
      <w:pPr>
        <w:numPr>
          <w:ilvl w:val="2"/>
          <w:numId w:val="2"/>
        </w:numPr>
        <w:spacing w:before="120" w:after="120"/>
        <w:ind w:left="1418" w:hanging="709"/>
        <w:jc w:val="both"/>
        <w:rPr>
          <w:lang w:val="lv-LV"/>
        </w:rPr>
      </w:pPr>
      <w:r>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pPr>
        <w:numPr>
          <w:ilvl w:val="2"/>
          <w:numId w:val="2"/>
        </w:numPr>
        <w:spacing w:before="120" w:after="120"/>
        <w:ind w:left="1418" w:hanging="709"/>
        <w:jc w:val="both"/>
        <w:rPr>
          <w:lang w:val="lv-LV"/>
        </w:rPr>
      </w:pPr>
      <w:r>
        <w:rPr>
          <w:lang w:val="lv-LV"/>
        </w:rPr>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pPr>
        <w:numPr>
          <w:ilvl w:val="2"/>
          <w:numId w:val="2"/>
        </w:numPr>
        <w:spacing w:before="120" w:after="120"/>
        <w:ind w:left="1418" w:hanging="709"/>
        <w:jc w:val="both"/>
        <w:rPr>
          <w:lang w:val="lv-LV"/>
        </w:rPr>
      </w:pPr>
      <w:r>
        <w:rPr>
          <w:lang w:val="lv-LV"/>
        </w:rPr>
        <w:t>uzņemties atbildību trešo personu un Pircēja priekšā par kaitējumu, kas tiem radies sakarā ar Preces kvalitātes trūkumu;</w:t>
      </w:r>
    </w:p>
    <w:p>
      <w:pPr>
        <w:numPr>
          <w:ilvl w:val="2"/>
          <w:numId w:val="2"/>
        </w:numPr>
        <w:spacing w:before="120" w:after="120"/>
        <w:ind w:left="1418"/>
        <w:jc w:val="both"/>
        <w:rPr>
          <w:lang w:val="lv-LV"/>
        </w:rPr>
      </w:pPr>
      <w:r>
        <w:rPr>
          <w:lang w:val="lv-LV"/>
        </w:rPr>
        <w:t>Ja Līguma darbības laikā Piegādātājs rīko akcijas, kuru laikā Preces tiek pārdotas par zemākām cenām nekā noteikts Līguma Pielikumā Nr.1, informēt Pircēju un piegādāt šīs Preces par šādām zemākām cenām.</w:t>
      </w:r>
    </w:p>
    <w:p>
      <w:pPr>
        <w:spacing w:before="120" w:after="120"/>
        <w:ind w:left="851" w:hanging="425"/>
        <w:jc w:val="both"/>
        <w:rPr>
          <w:lang w:val="lv-LV"/>
        </w:rPr>
      </w:pPr>
      <w:r>
        <w:rPr>
          <w:lang w:val="lv-LV"/>
        </w:rPr>
        <w:t>8.2. Piegādātājam ir tiesības:</w:t>
      </w:r>
    </w:p>
    <w:p>
      <w:pPr>
        <w:spacing w:before="120" w:after="120"/>
        <w:ind w:left="1418" w:hanging="709"/>
        <w:jc w:val="both"/>
        <w:rPr>
          <w:lang w:val="lv-LV"/>
        </w:rPr>
      </w:pPr>
      <w:r>
        <w:rPr>
          <w:lang w:val="lv-LV"/>
        </w:rPr>
        <w:t>8.2.1. saņemt pirkuma maksu par pienācīgi piegādātām Precēm;</w:t>
      </w:r>
    </w:p>
    <w:p>
      <w:pPr>
        <w:spacing w:before="120" w:after="120"/>
        <w:ind w:left="1418" w:hanging="709"/>
        <w:jc w:val="both"/>
        <w:rPr>
          <w:lang w:val="lv-LV"/>
        </w:rPr>
      </w:pPr>
      <w:r>
        <w:rPr>
          <w:bCs/>
          <w:lang w:val="lv-LV"/>
        </w:rPr>
        <w:t>8.2.2. saņemt līgumsodu, ja Pircējs nav veicis maksājumus.</w:t>
      </w:r>
    </w:p>
    <w:p>
      <w:pPr>
        <w:spacing w:before="120" w:after="120"/>
        <w:ind w:left="851" w:hanging="425"/>
        <w:jc w:val="both"/>
        <w:rPr>
          <w:lang w:val="lv-LV"/>
        </w:rPr>
      </w:pPr>
      <w:r>
        <w:rPr>
          <w:lang w:val="lv-LV"/>
        </w:rPr>
        <w:t>8.3. Pircējam ir pienākums:</w:t>
      </w:r>
    </w:p>
    <w:p>
      <w:pPr>
        <w:spacing w:before="120" w:after="120"/>
        <w:ind w:left="1276"/>
        <w:jc w:val="both"/>
        <w:rPr>
          <w:lang w:val="lv-LV"/>
        </w:rPr>
      </w:pPr>
      <w:r>
        <w:rPr>
          <w:lang w:val="lv-LV"/>
        </w:rPr>
        <w:t xml:space="preserve">8.3.1. nodrošināt Piegādātāja pienācīgi piegādātās Preces pieņemšanu; </w:t>
      </w:r>
    </w:p>
    <w:p>
      <w:pPr>
        <w:spacing w:before="120" w:after="120"/>
        <w:ind w:left="1276"/>
        <w:jc w:val="both"/>
        <w:rPr>
          <w:lang w:val="lv-LV"/>
        </w:rPr>
      </w:pPr>
      <w:r>
        <w:rPr>
          <w:lang w:val="lv-LV"/>
        </w:rPr>
        <w:t>8.3.2. nodrošināt saņemtās Preces pienācīgu uzglabāšanu;</w:t>
      </w:r>
    </w:p>
    <w:p>
      <w:pPr>
        <w:spacing w:before="120" w:after="120"/>
        <w:ind w:left="1276"/>
        <w:jc w:val="both"/>
        <w:rPr>
          <w:lang w:val="lv-LV"/>
        </w:rPr>
      </w:pPr>
      <w:r>
        <w:rPr>
          <w:lang w:val="lv-LV"/>
        </w:rPr>
        <w:t>8.3.3. norēķināties par saņemto Preci.</w:t>
      </w:r>
    </w:p>
    <w:p>
      <w:pPr>
        <w:numPr>
          <w:ilvl w:val="1"/>
          <w:numId w:val="7"/>
        </w:numPr>
        <w:spacing w:before="120" w:after="120"/>
        <w:ind w:left="851" w:hanging="425"/>
        <w:jc w:val="both"/>
        <w:rPr>
          <w:lang w:val="lv-LV"/>
        </w:rPr>
      </w:pPr>
      <w:r>
        <w:rPr>
          <w:lang w:val="lv-LV"/>
        </w:rPr>
        <w:t>Pircējam ir tiesības:</w:t>
      </w:r>
    </w:p>
    <w:p>
      <w:pPr>
        <w:numPr>
          <w:ilvl w:val="2"/>
          <w:numId w:val="7"/>
        </w:numPr>
        <w:spacing w:before="120" w:after="120"/>
        <w:ind w:left="1418" w:hanging="709"/>
        <w:jc w:val="both"/>
        <w:rPr>
          <w:szCs w:val="22"/>
          <w:lang w:val="lv-LV"/>
        </w:rPr>
      </w:pPr>
      <w:r>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pPr>
        <w:numPr>
          <w:ilvl w:val="0"/>
          <w:numId w:val="2"/>
        </w:numPr>
        <w:spacing w:before="240" w:after="120"/>
        <w:ind w:left="357" w:hanging="357"/>
        <w:jc w:val="center"/>
        <w:rPr>
          <w:b/>
          <w:szCs w:val="22"/>
          <w:lang w:val="lv-LV"/>
        </w:rPr>
      </w:pPr>
      <w:r>
        <w:rPr>
          <w:b/>
          <w:szCs w:val="22"/>
          <w:lang w:val="lv-LV"/>
        </w:rPr>
        <w:t>PUŠU ATBILDĪBA</w:t>
      </w:r>
    </w:p>
    <w:p>
      <w:pPr>
        <w:numPr>
          <w:ilvl w:val="1"/>
          <w:numId w:val="2"/>
        </w:numPr>
        <w:spacing w:before="120" w:after="120"/>
        <w:ind w:left="600" w:hanging="567"/>
        <w:jc w:val="both"/>
        <w:rPr>
          <w:szCs w:val="22"/>
          <w:lang w:val="lv-LV"/>
        </w:rPr>
      </w:pPr>
      <w:r>
        <w:rPr>
          <w:szCs w:val="22"/>
          <w:lang w:val="lv-LV"/>
        </w:rPr>
        <w:t>Abas Puses ir pilnībā savstarpēji atbildīgas par zaudējumiem, kurus tās nodara viena otrai ar šā Līguma neizpildi vai nepienācīgu izpildi.</w:t>
      </w:r>
    </w:p>
    <w:p>
      <w:pPr>
        <w:numPr>
          <w:ilvl w:val="1"/>
          <w:numId w:val="2"/>
        </w:numPr>
        <w:spacing w:before="120" w:after="120"/>
        <w:ind w:left="600" w:hanging="567"/>
        <w:jc w:val="both"/>
        <w:rPr>
          <w:szCs w:val="22"/>
          <w:lang w:val="lv-LV"/>
        </w:rPr>
      </w:pP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 xml:space="preserve">attiecīgo līgumsoda summu ieturēt arī savstarpēja ieskaita veidā, veicot maksājumus par iepriekš atbilstoši Līguma noteikumiem piegādātajām Precēm. </w:t>
      </w:r>
      <w:r>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Pr>
          <w:i/>
          <w:szCs w:val="22"/>
          <w:lang w:val="lv-LV"/>
        </w:rPr>
        <w:t>euro</w:t>
      </w:r>
      <w:r>
        <w:rPr>
          <w:szCs w:val="22"/>
          <w:lang w:val="lv-LV"/>
        </w:rPr>
        <w:t xml:space="preserve"> (viens simts </w:t>
      </w:r>
      <w:r>
        <w:rPr>
          <w:i/>
          <w:szCs w:val="22"/>
          <w:lang w:val="lv-LV"/>
        </w:rPr>
        <w:t>euro</w:t>
      </w:r>
      <w:r>
        <w:rPr>
          <w:szCs w:val="22"/>
          <w:lang w:val="lv-LV"/>
        </w:rPr>
        <w:t xml:space="preserve"> un 0 centu) par katru nepiegādāto Preču pozīciju. </w:t>
      </w:r>
      <w:r>
        <w:rPr>
          <w:bCs/>
          <w:iCs/>
          <w:lang w:val="lv-LV"/>
        </w:rPr>
        <w:t xml:space="preserve">Pircējs ir tiesīgs </w:t>
      </w:r>
      <w:r>
        <w:rPr>
          <w:lang w:val="lv-LV"/>
        </w:rPr>
        <w:t>attiecīgo līgumsoda summu ieturēt arī savstarpēja ieskaita veidā, veicot maksājumus par iepriekš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piegādes nokavēšanas gadījumu Pircējs ir tiesīgs saņemt no Piegādātāja līgumsodu 0,1% </w:t>
      </w:r>
      <w:r>
        <w:rPr>
          <w:lang w:val="lv-LV"/>
        </w:rPr>
        <w:t xml:space="preserve">(nulle komats viens procents) </w:t>
      </w:r>
      <w:r>
        <w:rPr>
          <w:szCs w:val="22"/>
          <w:lang w:val="lv-LV"/>
        </w:rPr>
        <w:t>apmērā par katru nokavēto dienu no nokavētās piegādes (pasūtījuma) kopsummas, bet ne vairāk kā 10% (desmit procenti) apmērā no Līguma summas.</w:t>
      </w:r>
      <w:r>
        <w:rPr>
          <w:bCs/>
          <w:iCs/>
          <w:lang w:val="lv-LV"/>
        </w:rPr>
        <w:t xml:space="preserve"> Pircējs ir tiesīgs </w:t>
      </w:r>
      <w:r>
        <w:rPr>
          <w:lang w:val="lv-LV"/>
        </w:rPr>
        <w:t>attiecīgo līgumsoda summu ieturēt savstarpēja ieskaita veidā, veicot maksājumus par atbilstoši Līguma noteikumiem piegādātajām Precēm.</w:t>
      </w:r>
    </w:p>
    <w:p>
      <w:pPr>
        <w:numPr>
          <w:ilvl w:val="1"/>
          <w:numId w:val="2"/>
        </w:numPr>
        <w:spacing w:before="120" w:after="120"/>
        <w:ind w:left="600" w:hanging="567"/>
        <w:jc w:val="both"/>
        <w:rPr>
          <w:szCs w:val="22"/>
          <w:lang w:val="lv-LV"/>
        </w:rPr>
      </w:pPr>
      <w:r>
        <w:rPr>
          <w:szCs w:val="22"/>
          <w:lang w:val="lv-LV"/>
        </w:rPr>
        <w:t xml:space="preserve">Par katru Preču apmaksas nokavējumu Piegādātājs ir tiesīgs saņemt no Pircēja līgumsodu   0,1% </w:t>
      </w:r>
      <w:r>
        <w:rPr>
          <w:lang w:val="lv-LV"/>
        </w:rPr>
        <w:t xml:space="preserve">(nulle komats viens procents) </w:t>
      </w:r>
      <w:r>
        <w:rPr>
          <w:szCs w:val="22"/>
          <w:lang w:val="lv-LV"/>
        </w:rPr>
        <w:t xml:space="preserve">apmērā par katru nokavēto samaksas dienu no neapmaksātās summas, bet ne vairāk kā 10% (desmit procenti) apmērā no neapmaksātās summas. </w:t>
      </w:r>
    </w:p>
    <w:p>
      <w:pPr>
        <w:numPr>
          <w:ilvl w:val="1"/>
          <w:numId w:val="2"/>
        </w:numPr>
        <w:spacing w:before="120" w:after="120"/>
        <w:ind w:left="600" w:hanging="567"/>
        <w:jc w:val="both"/>
        <w:rPr>
          <w:szCs w:val="22"/>
          <w:lang w:val="lv-LV"/>
        </w:rPr>
      </w:pPr>
      <w:r>
        <w:rPr>
          <w:szCs w:val="22"/>
          <w:lang w:val="lv-LV"/>
        </w:rPr>
        <w:t>Līgumsoda samaksa neatbrīvo Puses no pārējo Līguma saistību izpildes, ja vien no Līguma noteikumiem neizriet citādi.</w:t>
      </w:r>
    </w:p>
    <w:p>
      <w:pPr>
        <w:numPr>
          <w:ilvl w:val="1"/>
          <w:numId w:val="2"/>
        </w:numPr>
        <w:spacing w:before="120" w:after="120"/>
        <w:ind w:left="600" w:hanging="567"/>
        <w:jc w:val="both"/>
        <w:rPr>
          <w:szCs w:val="22"/>
          <w:lang w:val="lv-LV"/>
        </w:rPr>
      </w:pPr>
      <w:r>
        <w:rPr>
          <w:szCs w:val="22"/>
          <w:lang w:val="lv-LV"/>
        </w:rPr>
        <w:t>Pircējs ir tiesīgs attiecīgo līgumsoda summu ieturēt arī savstarpēja ieskaita veidā, veicot maksājumus par iepriekš atbilstoši Līguma noteikumiem piegādātajām Precēm.</w:t>
      </w:r>
    </w:p>
    <w:p>
      <w:pPr>
        <w:numPr>
          <w:ilvl w:val="0"/>
          <w:numId w:val="2"/>
        </w:numPr>
        <w:spacing w:before="240" w:after="120"/>
        <w:ind w:left="357" w:hanging="357"/>
        <w:jc w:val="center"/>
        <w:rPr>
          <w:b/>
          <w:szCs w:val="22"/>
          <w:lang w:val="lv-LV"/>
        </w:rPr>
      </w:pPr>
      <w:r>
        <w:rPr>
          <w:b/>
          <w:szCs w:val="22"/>
          <w:lang w:val="lv-LV"/>
        </w:rPr>
        <w:t>LĪGUMA GROZĪŠANAS KĀRTĪBA UN KĀRTĪBA, KĀDĀ PIEĻAUJAMA ATKĀPŠANĀS NO LĪGUMA</w:t>
      </w:r>
    </w:p>
    <w:p>
      <w:pPr>
        <w:numPr>
          <w:ilvl w:val="1"/>
          <w:numId w:val="2"/>
        </w:numPr>
        <w:spacing w:before="120" w:after="120"/>
        <w:ind w:left="600" w:hanging="567"/>
        <w:jc w:val="both"/>
        <w:rPr>
          <w:szCs w:val="22"/>
          <w:lang w:val="lv-LV"/>
        </w:rPr>
      </w:pPr>
      <w:r>
        <w:rPr>
          <w:szCs w:val="22"/>
          <w:lang w:val="lv-LV"/>
        </w:rPr>
        <w:t>Pircējam ir tiesības nekavējoties vienpusēji izbeigt Līgumu attiecībā uz visām Līguma Pielikumā Nr.1 norādītajām Preču pozīcijām, nosūtot rakstisku paziņojumu Piegādātājam, ja:</w:t>
      </w:r>
    </w:p>
    <w:p>
      <w:pPr>
        <w:numPr>
          <w:ilvl w:val="2"/>
          <w:numId w:val="2"/>
        </w:numPr>
        <w:spacing w:before="120" w:after="120"/>
        <w:ind w:left="1276" w:hanging="709"/>
        <w:jc w:val="both"/>
        <w:rPr>
          <w:szCs w:val="22"/>
          <w:lang w:val="lv-LV"/>
        </w:rPr>
      </w:pPr>
      <w:r>
        <w:rPr>
          <w:szCs w:val="22"/>
          <w:lang w:val="lv-LV"/>
        </w:rPr>
        <w:t>Piegādātājs ir pieņēmis lēmumu uzsākt uzņēmuma likvidāciju, apturēt vai pārtraukt uzņēmuma darbību;</w:t>
      </w:r>
    </w:p>
    <w:p>
      <w:pPr>
        <w:numPr>
          <w:ilvl w:val="2"/>
          <w:numId w:val="2"/>
        </w:numPr>
        <w:spacing w:before="120" w:after="120"/>
        <w:ind w:left="1276" w:hanging="709"/>
        <w:jc w:val="both"/>
        <w:rPr>
          <w:szCs w:val="22"/>
          <w:lang w:val="lv-LV"/>
        </w:rPr>
      </w:pPr>
      <w:r>
        <w:rPr>
          <w:szCs w:val="22"/>
          <w:lang w:val="lv-LV"/>
        </w:rPr>
        <w:t>pret Piegādātāju ir uzsākta maksātnespējas procedūra, vai tā darbība ir apturēta;</w:t>
      </w:r>
    </w:p>
    <w:p>
      <w:pPr>
        <w:numPr>
          <w:ilvl w:val="2"/>
          <w:numId w:val="2"/>
        </w:numPr>
        <w:spacing w:before="120" w:after="120"/>
        <w:ind w:left="1276" w:hanging="709"/>
        <w:jc w:val="both"/>
        <w:rPr>
          <w:szCs w:val="22"/>
          <w:lang w:val="lv-LV"/>
        </w:rPr>
      </w:pPr>
      <w:r>
        <w:rPr>
          <w:szCs w:val="22"/>
          <w:lang w:val="lv-LV"/>
        </w:rPr>
        <w:t>Piegādātājs nepilda Līguma noteikumus;</w:t>
      </w:r>
    </w:p>
    <w:p>
      <w:pPr>
        <w:numPr>
          <w:ilvl w:val="1"/>
          <w:numId w:val="2"/>
        </w:numPr>
        <w:spacing w:before="120" w:after="120"/>
        <w:ind w:left="600" w:hanging="567"/>
        <w:jc w:val="both"/>
        <w:rPr>
          <w:szCs w:val="22"/>
          <w:lang w:val="lv-LV"/>
        </w:rPr>
      </w:pPr>
      <w:r>
        <w:rPr>
          <w:szCs w:val="22"/>
          <w:lang w:val="lv-LV"/>
        </w:rPr>
        <w:t>Līguma izbeigšanas gadījumā Pircējs samaksā Piegādātājam par faktiski laikā veiktajām Preces piegādēm, ja Puses nevienojas citādi.</w:t>
      </w:r>
    </w:p>
    <w:p>
      <w:pPr>
        <w:numPr>
          <w:ilvl w:val="0"/>
          <w:numId w:val="2"/>
        </w:numPr>
        <w:spacing w:before="240" w:after="120"/>
        <w:ind w:left="425" w:hanging="425"/>
        <w:jc w:val="center"/>
        <w:rPr>
          <w:b/>
          <w:szCs w:val="22"/>
          <w:lang w:val="lv-LV"/>
        </w:rPr>
      </w:pPr>
      <w:r>
        <w:rPr>
          <w:b/>
          <w:szCs w:val="22"/>
          <w:lang w:val="lv-LV"/>
        </w:rPr>
        <w:t>NEPĀRVARAMA VARA</w:t>
      </w:r>
    </w:p>
    <w:p>
      <w:pPr>
        <w:pStyle w:val="20"/>
        <w:numPr>
          <w:ilvl w:val="1"/>
          <w:numId w:val="2"/>
        </w:numPr>
        <w:spacing w:before="120" w:after="120"/>
        <w:ind w:left="567" w:hanging="567"/>
        <w:contextualSpacing w:val="0"/>
        <w:jc w:val="both"/>
        <w:rPr>
          <w:lang w:val="lv-LV"/>
        </w:rPr>
      </w:pPr>
      <w:r>
        <w:rPr>
          <w:lang w:val="lv-LV"/>
        </w:rPr>
        <w:t xml:space="preserve">Puses ir atbrīvotas no atbildības par Līgumā noteikto pienākumu pilnīgu vai daļēju neizpildi, ja šāda neizpilde radusies nepārvarama, ārkārtēja gadījuma dēļ (nepārvarama vara, </w:t>
      </w:r>
      <w:r>
        <w:rPr>
          <w:i/>
          <w:lang w:val="lv-LV"/>
        </w:rPr>
        <w:t>force majeure</w:t>
      </w:r>
      <w:r>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pStyle w:val="20"/>
        <w:numPr>
          <w:ilvl w:val="1"/>
          <w:numId w:val="2"/>
        </w:numPr>
        <w:spacing w:before="120" w:after="120"/>
        <w:ind w:left="567" w:hanging="567"/>
        <w:contextualSpacing w:val="0"/>
        <w:jc w:val="both"/>
        <w:rPr>
          <w:lang w:val="lv-LV"/>
        </w:rPr>
      </w:pPr>
      <w:r>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numPr>
          <w:ilvl w:val="1"/>
          <w:numId w:val="2"/>
        </w:numPr>
        <w:spacing w:before="120" w:after="160" w:line="259" w:lineRule="auto"/>
        <w:ind w:left="600" w:hanging="567"/>
        <w:jc w:val="both"/>
        <w:rPr>
          <w:bCs/>
          <w:szCs w:val="22"/>
          <w:lang w:val="lv-LV"/>
        </w:rPr>
      </w:pPr>
      <w:r>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lang w:val="lv-LV"/>
        </w:rPr>
        <w:t>.</w:t>
      </w:r>
    </w:p>
    <w:p>
      <w:pPr>
        <w:spacing w:before="120" w:after="160" w:line="259" w:lineRule="auto"/>
        <w:ind w:left="600"/>
        <w:jc w:val="both"/>
        <w:rPr>
          <w:bCs/>
          <w:szCs w:val="22"/>
          <w:lang w:val="lv-LV"/>
        </w:rPr>
      </w:pPr>
    </w:p>
    <w:p>
      <w:pPr>
        <w:spacing w:before="120" w:after="160" w:line="259" w:lineRule="auto"/>
        <w:ind w:left="600"/>
        <w:jc w:val="both"/>
        <w:rPr>
          <w:bCs/>
          <w:szCs w:val="22"/>
          <w:lang w:val="lv-LV"/>
        </w:rPr>
      </w:pPr>
    </w:p>
    <w:p>
      <w:pPr>
        <w:spacing w:before="120" w:after="160" w:line="259" w:lineRule="auto"/>
        <w:ind w:left="600"/>
        <w:jc w:val="both"/>
        <w:rPr>
          <w:bCs/>
          <w:szCs w:val="22"/>
          <w:lang w:val="lv-LV"/>
        </w:rPr>
      </w:pPr>
    </w:p>
    <w:p>
      <w:pPr>
        <w:numPr>
          <w:ilvl w:val="0"/>
          <w:numId w:val="2"/>
        </w:numPr>
        <w:spacing w:before="240" w:after="120"/>
        <w:ind w:left="425" w:hanging="425"/>
        <w:jc w:val="center"/>
        <w:rPr>
          <w:b/>
          <w:szCs w:val="22"/>
          <w:lang w:val="lv-LV"/>
        </w:rPr>
      </w:pPr>
      <w:r>
        <w:rPr>
          <w:b/>
          <w:szCs w:val="22"/>
          <w:lang w:val="lv-LV"/>
        </w:rPr>
        <w:t>CITI NOTEIKUMI</w:t>
      </w:r>
    </w:p>
    <w:p>
      <w:pPr>
        <w:numPr>
          <w:ilvl w:val="1"/>
          <w:numId w:val="2"/>
        </w:numPr>
        <w:spacing w:before="120" w:after="120"/>
        <w:ind w:left="600" w:hanging="567"/>
        <w:jc w:val="both"/>
        <w:rPr>
          <w:szCs w:val="22"/>
          <w:lang w:val="lv-LV"/>
        </w:rPr>
      </w:pPr>
      <w:r>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pPr>
        <w:numPr>
          <w:ilvl w:val="1"/>
          <w:numId w:val="2"/>
        </w:numPr>
        <w:spacing w:before="120" w:after="120"/>
        <w:ind w:left="600" w:hanging="567"/>
        <w:jc w:val="both"/>
        <w:rPr>
          <w:szCs w:val="22"/>
          <w:lang w:val="lv-LV"/>
        </w:rPr>
      </w:pPr>
      <w:r>
        <w:rPr>
          <w:szCs w:val="22"/>
          <w:lang w:val="lv-LV"/>
        </w:rPr>
        <w:t>Jautājumos, kuri nav atrunāti šajā Līgumā, Puses vadās no Latvijas Republikas normatīvajiem aktiem.</w:t>
      </w:r>
    </w:p>
    <w:p>
      <w:pPr>
        <w:numPr>
          <w:ilvl w:val="1"/>
          <w:numId w:val="2"/>
        </w:numPr>
        <w:spacing w:before="120" w:after="120"/>
        <w:ind w:left="600" w:hanging="567"/>
        <w:jc w:val="both"/>
        <w:rPr>
          <w:szCs w:val="22"/>
          <w:lang w:val="lv-LV"/>
        </w:rPr>
      </w:pPr>
      <w:r>
        <w:rPr>
          <w:szCs w:val="22"/>
          <w:lang w:val="lv-LV"/>
        </w:rPr>
        <w:t>Puses savstarpēji apņemas neizpaust konfidenciāla rakstura informāciju, kas tām kļuvusi zināma šī Līguma noteikumu izpildes gaitā.</w:t>
      </w:r>
    </w:p>
    <w:p>
      <w:pPr>
        <w:numPr>
          <w:ilvl w:val="1"/>
          <w:numId w:val="2"/>
        </w:numPr>
        <w:spacing w:before="120" w:after="120"/>
        <w:ind w:left="600" w:hanging="567"/>
        <w:jc w:val="both"/>
        <w:rPr>
          <w:szCs w:val="22"/>
          <w:lang w:val="lv-LV"/>
        </w:rPr>
      </w:pPr>
      <w:r>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pPr>
        <w:numPr>
          <w:ilvl w:val="1"/>
          <w:numId w:val="2"/>
        </w:numPr>
        <w:spacing w:before="120" w:after="120"/>
        <w:ind w:left="600" w:hanging="567"/>
        <w:jc w:val="both"/>
        <w:rPr>
          <w:szCs w:val="22"/>
          <w:lang w:val="lv-LV"/>
        </w:rPr>
      </w:pPr>
      <w:r>
        <w:rPr>
          <w:szCs w:val="22"/>
          <w:lang w:val="lv-LV"/>
        </w:rPr>
        <w:t>Ja Līguma darbības laikā notiek Puses reorganizācija, tās tiesības un pienākumus realizē saistību pārņēmējs.</w:t>
      </w:r>
    </w:p>
    <w:p>
      <w:pPr>
        <w:numPr>
          <w:ilvl w:val="1"/>
          <w:numId w:val="2"/>
        </w:numPr>
        <w:spacing w:before="120" w:after="120"/>
        <w:ind w:left="600" w:hanging="567"/>
        <w:jc w:val="both"/>
        <w:rPr>
          <w:szCs w:val="22"/>
          <w:lang w:val="lv-LV"/>
        </w:rPr>
      </w:pPr>
      <w:r>
        <w:rPr>
          <w:szCs w:val="22"/>
          <w:lang w:val="lv-LV"/>
        </w:rPr>
        <w:t>Piegādātājs nevar nodot Līguma saistību izpildi trešajām personām bez Pircēja iepriekšējas rakstiskas piekrišanas.</w:t>
      </w:r>
    </w:p>
    <w:p>
      <w:pPr>
        <w:numPr>
          <w:ilvl w:val="1"/>
          <w:numId w:val="2"/>
        </w:numPr>
        <w:spacing w:before="120" w:after="120"/>
        <w:ind w:left="600" w:hanging="567"/>
        <w:jc w:val="both"/>
        <w:rPr>
          <w:szCs w:val="22"/>
          <w:lang w:val="lv-LV"/>
        </w:rPr>
      </w:pPr>
      <w:r>
        <w:rPr>
          <w:szCs w:val="22"/>
          <w:lang w:val="lv-LV"/>
        </w:rPr>
        <w:t>Juridiskās adreses vai bankas rekvizītu maiņas gadījumā Pušu pienākums ir 7 (septiņu) dienu laikā paziņot par to otrai Pusei.</w:t>
      </w:r>
      <w:r>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pPr>
        <w:numPr>
          <w:ilvl w:val="1"/>
          <w:numId w:val="2"/>
        </w:numPr>
        <w:spacing w:before="120" w:after="120"/>
        <w:ind w:left="600" w:hanging="567"/>
        <w:jc w:val="both"/>
        <w:rPr>
          <w:szCs w:val="22"/>
          <w:lang w:val="lv-LV"/>
        </w:rPr>
      </w:pPr>
      <w:r>
        <w:rPr>
          <w:lang w:val="lv-LV"/>
        </w:rPr>
        <w:t>Līgums sagatavots latviešu valodā uz 6 (sešām) lapām divos eksemplāros. Katram Līguma eksemplāram pievienots pielikums Nr. 1 „Tehniskais – finanšu piedāvājums” uz 1 (vienas) lapas. Līguma eksemplāri izsniegti pa vienam katrai Pusei, abiem Līguma eksemplāriem ir vienāds juridisks spēks</w:t>
      </w:r>
      <w:r>
        <w:rPr>
          <w:szCs w:val="22"/>
          <w:lang w:val="lv-LV"/>
        </w:rPr>
        <w:t>.</w:t>
      </w:r>
    </w:p>
    <w:p>
      <w:pPr>
        <w:pStyle w:val="20"/>
        <w:numPr>
          <w:ilvl w:val="0"/>
          <w:numId w:val="2"/>
        </w:numPr>
        <w:spacing w:before="240" w:after="120"/>
        <w:ind w:left="357" w:hanging="357"/>
        <w:contextualSpacing w:val="0"/>
        <w:jc w:val="center"/>
        <w:rPr>
          <w:b/>
          <w:bCs/>
          <w:szCs w:val="22"/>
          <w:lang w:val="lv-LV"/>
        </w:rPr>
      </w:pPr>
      <w:r>
        <w:rPr>
          <w:b/>
          <w:bCs/>
          <w:szCs w:val="22"/>
          <w:lang w:val="lv-LV"/>
        </w:rPr>
        <w:t>PUŠU REKVIZĪTI UN PARAKSTI</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8"/>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ilvl w:val="0"/>
                <w:numId w:val="0"/>
              </w:numPr>
              <w:spacing w:after="80"/>
              <w:rPr>
                <w:bCs/>
                <w:i/>
                <w:lang w:val="de-DE"/>
              </w:rPr>
            </w:pPr>
            <w:r>
              <w:rPr>
                <w:bCs/>
                <w:i/>
                <w:lang w:val="de-DE"/>
              </w:rPr>
              <w:t>_____________________________</w:t>
            </w:r>
          </w:p>
          <w:p>
            <w:pPr>
              <w:spacing w:after="80"/>
              <w:rPr>
                <w:b/>
                <w:bCs/>
                <w:szCs w:val="22"/>
                <w:lang w:val="lv-LV"/>
              </w:rPr>
            </w:pPr>
            <w:r>
              <w:rPr>
                <w:rFonts w:ascii="Times New Roman" w:hAnsi="Times New Roman" w:eastAsia="Times New Roman" w:cs="Times New Roman"/>
                <w:bCs/>
                <w:sz w:val="24"/>
                <w:szCs w:val="24"/>
              </w:rPr>
              <w:t>A.Ločmele</w:t>
            </w:r>
          </w:p>
        </w:tc>
        <w:tc>
          <w:tcPr>
            <w:tcW w:w="4927" w:type="dxa"/>
          </w:tcPr>
          <w:p>
            <w:pPr>
              <w:spacing w:before="120" w:after="120"/>
              <w:jc w:val="both"/>
              <w:rPr>
                <w:b/>
                <w:lang w:val="lv-LV"/>
              </w:rPr>
            </w:pPr>
            <w:r>
              <w:rPr>
                <w:b/>
                <w:bCs/>
                <w:szCs w:val="22"/>
                <w:lang w:val="lv-LV"/>
              </w:rPr>
              <w:t>PIEGĀDĀTĀJS</w:t>
            </w:r>
            <w:r>
              <w:rPr>
                <w:szCs w:val="22"/>
                <w:lang w:val="lv-LV"/>
              </w:rPr>
              <w:t>:</w:t>
            </w:r>
            <w:r>
              <w:rPr>
                <w:b/>
                <w:lang w:val="lv-LV"/>
              </w:rPr>
              <w:t xml:space="preserve"> </w:t>
            </w:r>
          </w:p>
          <w:p>
            <w:pPr>
              <w:jc w:val="both"/>
              <w:rPr>
                <w:b/>
                <w:lang w:val="lv-LV"/>
              </w:rPr>
            </w:pPr>
            <w:r>
              <w:rPr>
                <w:b/>
                <w:color w:val="363636"/>
                <w:lang w:val="lv-LV"/>
              </w:rPr>
              <w:t xml:space="preserve">SIA </w:t>
            </w:r>
            <w:r>
              <w:rPr>
                <w:b/>
                <w:lang w:val="lv-LV"/>
              </w:rPr>
              <w:t>„Arbor Medical Korporācija”</w:t>
            </w:r>
          </w:p>
          <w:p>
            <w:pPr>
              <w:jc w:val="both"/>
              <w:rPr>
                <w:b/>
                <w:lang w:val="lv-LV"/>
              </w:rPr>
            </w:pPr>
          </w:p>
          <w:p>
            <w:pPr>
              <w:jc w:val="both"/>
              <w:rPr>
                <w:lang w:val="lv-LV"/>
              </w:rPr>
            </w:pPr>
            <w:r>
              <w:rPr>
                <w:lang w:val="lv-LV"/>
              </w:rPr>
              <w:t>Meistaru iela 7, Valdlauči, Ķekavas pagasts, Ķekavas novads, LV-1076</w:t>
            </w:r>
          </w:p>
          <w:p>
            <w:pPr>
              <w:jc w:val="both"/>
              <w:rPr>
                <w:lang w:val="lv-LV"/>
              </w:rPr>
            </w:pPr>
            <w:r>
              <w:rPr>
                <w:lang w:val="lv-LV"/>
              </w:rPr>
              <w:t>Reģ. Nr. 40003547099</w:t>
            </w:r>
          </w:p>
          <w:p>
            <w:pPr>
              <w:jc w:val="both"/>
              <w:rPr>
                <w:lang w:val="lv-LV"/>
              </w:rPr>
            </w:pPr>
            <w:r>
              <w:rPr>
                <w:lang w:val="lv-LV"/>
              </w:rPr>
              <w:t>Banka: AS Swedbank</w:t>
            </w:r>
          </w:p>
          <w:p>
            <w:pPr>
              <w:jc w:val="both"/>
              <w:rPr>
                <w:lang w:val="lv-LV"/>
              </w:rPr>
            </w:pPr>
            <w:r>
              <w:rPr>
                <w:lang w:val="lv-LV"/>
              </w:rPr>
              <w:t>Bankas kods: HABALV22</w:t>
            </w:r>
          </w:p>
          <w:p>
            <w:pPr>
              <w:jc w:val="both"/>
              <w:rPr>
                <w:lang w:val="lv-LV"/>
              </w:rPr>
            </w:pPr>
            <w:r>
              <w:rPr>
                <w:lang w:val="lv-LV"/>
              </w:rPr>
              <w:t>Konta Nr. LV98HABA0551000850592</w:t>
            </w:r>
          </w:p>
          <w:p>
            <w:pPr>
              <w:pStyle w:val="5"/>
              <w:spacing w:before="160" w:after="0"/>
              <w:rPr>
                <w:bCs/>
                <w:i/>
                <w:lang w:val="lv-LV"/>
              </w:rPr>
            </w:pPr>
            <w:r>
              <w:rPr>
                <w:bCs/>
                <w:i/>
                <w:lang w:val="lv-LV"/>
              </w:rPr>
              <w:t>____________________________</w:t>
            </w:r>
          </w:p>
          <w:p>
            <w:pPr>
              <w:jc w:val="both"/>
              <w:rPr>
                <w:szCs w:val="22"/>
                <w:lang w:val="lv-LV"/>
              </w:rPr>
            </w:pPr>
            <w:r>
              <w:rPr>
                <w:szCs w:val="22"/>
                <w:lang w:val="lv-LV"/>
              </w:rPr>
              <w:t>D. Rātfeldere</w:t>
            </w:r>
          </w:p>
        </w:tc>
      </w:tr>
    </w:tbl>
    <w:p>
      <w:pPr>
        <w:pStyle w:val="5"/>
        <w:tabs>
          <w:tab w:val="left" w:pos="3084"/>
        </w:tabs>
        <w:spacing w:before="120"/>
        <w:jc w:val="center"/>
        <w:rPr>
          <w:caps/>
          <w:lang w:val="lv-LV"/>
        </w:rPr>
        <w:sectPr>
          <w:footerReference r:id="rId5" w:type="default"/>
          <w:footerReference r:id="rId6" w:type="even"/>
          <w:pgSz w:w="11906" w:h="16838"/>
          <w:pgMar w:top="1134" w:right="851" w:bottom="737" w:left="1418" w:header="284" w:footer="284" w:gutter="0"/>
          <w:pgNumType w:start="1"/>
          <w:cols w:space="708" w:num="1"/>
          <w:titlePg/>
          <w:docGrid w:linePitch="326" w:charSpace="0"/>
        </w:sectPr>
      </w:pPr>
      <w:r>
        <w:rPr>
          <w:caps/>
          <w:lang w:val="lv-LV"/>
        </w:rPr>
        <w:t>ŠIS Dokuments ir parakstīts ar drošu elektronisko parakstu un satur laika zīmogu</w:t>
      </w:r>
    </w:p>
    <w:p>
      <w:pPr>
        <w:pStyle w:val="5"/>
        <w:tabs>
          <w:tab w:val="left" w:pos="3084"/>
        </w:tabs>
        <w:spacing w:before="120"/>
        <w:jc w:val="center"/>
        <w:rPr>
          <w:lang w:val="lv-LV"/>
        </w:rPr>
      </w:pPr>
    </w:p>
    <w:sectPr>
      <w:footerReference r:id="rId7" w:type="default"/>
      <w:footerReference r:id="rId8" w:type="even"/>
      <w:type w:val="continuous"/>
      <w:pgSz w:w="11906" w:h="16838"/>
      <w:pgMar w:top="1134" w:right="851" w:bottom="737" w:left="1418" w:header="284" w:footer="284" w:gutter="0"/>
      <w:cols w:space="708"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00FF54FB"/>
    <w:multiLevelType w:val="multilevel"/>
    <w:tmpl w:val="00FF54FB"/>
    <w:lvl w:ilvl="0" w:tentative="0">
      <w:start w:val="8"/>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EFD4221"/>
    <w:multiLevelType w:val="multilevel"/>
    <w:tmpl w:val="0EFD4221"/>
    <w:lvl w:ilvl="0" w:tentative="0">
      <w:start w:val="4"/>
      <w:numFmt w:val="decimal"/>
      <w:lvlText w:val="%1."/>
      <w:lvlJc w:val="left"/>
      <w:pPr>
        <w:ind w:left="360" w:hanging="360"/>
      </w:pPr>
      <w:rPr>
        <w:rFonts w:hint="default"/>
      </w:rPr>
    </w:lvl>
    <w:lvl w:ilvl="1" w:tentative="0">
      <w:start w:val="3"/>
      <w:numFmt w:val="decimal"/>
      <w:lvlText w:val="%1.%2."/>
      <w:lvlJc w:val="left"/>
      <w:pPr>
        <w:ind w:left="1778" w:hanging="36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3">
    <w:nsid w:val="17B662C1"/>
    <w:multiLevelType w:val="multilevel"/>
    <w:tmpl w:val="17B662C1"/>
    <w:lvl w:ilvl="0" w:tentative="0">
      <w:start w:val="1"/>
      <w:numFmt w:val="decimal"/>
      <w:lvlText w:val="%1."/>
      <w:lvlJc w:val="left"/>
      <w:pPr>
        <w:ind w:left="360" w:hanging="360"/>
      </w:pPr>
      <w:rPr>
        <w:rFonts w:hint="default"/>
      </w:rPr>
    </w:lvl>
    <w:lvl w:ilvl="1" w:tentative="0">
      <w:start w:val="1"/>
      <w:numFmt w:val="decimal"/>
      <w:lvlText w:val="%1.%2."/>
      <w:lvlJc w:val="left"/>
      <w:pPr>
        <w:ind w:left="2771"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26FF3962"/>
    <w:multiLevelType w:val="multilevel"/>
    <w:tmpl w:val="26FF3962"/>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5294D08"/>
    <w:multiLevelType w:val="multilevel"/>
    <w:tmpl w:val="55294D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7AC09C3"/>
    <w:multiLevelType w:val="multilevel"/>
    <w:tmpl w:val="67AC09C3"/>
    <w:lvl w:ilvl="0" w:tentative="0">
      <w:start w:val="2"/>
      <w:numFmt w:val="decimal"/>
      <w:lvlText w:val="%1."/>
      <w:lvlJc w:val="left"/>
      <w:pPr>
        <w:ind w:left="360" w:hanging="360"/>
      </w:pPr>
      <w:rPr>
        <w:rFonts w:hint="default"/>
      </w:rPr>
    </w:lvl>
    <w:lvl w:ilvl="1" w:tentative="0">
      <w:start w:val="1"/>
      <w:numFmt w:val="decimal"/>
      <w:lvlText w:val="%1.%2."/>
      <w:lvlJc w:val="left"/>
      <w:pPr>
        <w:ind w:left="1647" w:hanging="360"/>
      </w:pPr>
      <w:rPr>
        <w:rFonts w:hint="default"/>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abstractNum w:abstractNumId="7">
    <w:nsid w:val="717C6DB1"/>
    <w:multiLevelType w:val="multilevel"/>
    <w:tmpl w:val="717C6DB1"/>
    <w:lvl w:ilvl="0" w:tentative="0">
      <w:start w:val="2"/>
      <w:numFmt w:val="decimal"/>
      <w:lvlText w:val="%1."/>
      <w:lvlJc w:val="left"/>
      <w:pPr>
        <w:ind w:left="360" w:hanging="360"/>
      </w:pPr>
      <w:rPr>
        <w:rFonts w:hint="default"/>
      </w:rPr>
    </w:lvl>
    <w:lvl w:ilvl="1" w:tentative="0">
      <w:start w:val="1"/>
      <w:numFmt w:val="decimal"/>
      <w:lvlText w:val="%1.%2."/>
      <w:lvlJc w:val="left"/>
      <w:pPr>
        <w:ind w:left="1680" w:hanging="360"/>
      </w:pPr>
      <w:rPr>
        <w:rFonts w:hint="default"/>
        <w:b w:val="0"/>
        <w:bCs w:val="0"/>
      </w:rPr>
    </w:lvl>
    <w:lvl w:ilvl="2" w:tentative="0">
      <w:start w:val="1"/>
      <w:numFmt w:val="decimal"/>
      <w:lvlText w:val="%1.%2.%3."/>
      <w:lvlJc w:val="left"/>
      <w:pPr>
        <w:ind w:left="3294" w:hanging="720"/>
      </w:pPr>
      <w:rPr>
        <w:rFonts w:hint="default"/>
      </w:rPr>
    </w:lvl>
    <w:lvl w:ilvl="3" w:tentative="0">
      <w:start w:val="1"/>
      <w:numFmt w:val="decimal"/>
      <w:lvlText w:val="%1.%2.%3.%4."/>
      <w:lvlJc w:val="left"/>
      <w:pPr>
        <w:ind w:left="4581" w:hanging="720"/>
      </w:pPr>
      <w:rPr>
        <w:rFonts w:hint="default"/>
      </w:rPr>
    </w:lvl>
    <w:lvl w:ilvl="4" w:tentative="0">
      <w:start w:val="1"/>
      <w:numFmt w:val="decimal"/>
      <w:lvlText w:val="%1.%2.%3.%4.%5."/>
      <w:lvlJc w:val="left"/>
      <w:pPr>
        <w:ind w:left="6228" w:hanging="1080"/>
      </w:pPr>
      <w:rPr>
        <w:rFonts w:hint="default"/>
      </w:rPr>
    </w:lvl>
    <w:lvl w:ilvl="5" w:tentative="0">
      <w:start w:val="1"/>
      <w:numFmt w:val="decimal"/>
      <w:lvlText w:val="%1.%2.%3.%4.%5.%6."/>
      <w:lvlJc w:val="left"/>
      <w:pPr>
        <w:ind w:left="7515" w:hanging="1080"/>
      </w:pPr>
      <w:rPr>
        <w:rFonts w:hint="default"/>
      </w:rPr>
    </w:lvl>
    <w:lvl w:ilvl="6" w:tentative="0">
      <w:start w:val="1"/>
      <w:numFmt w:val="decimal"/>
      <w:lvlText w:val="%1.%2.%3.%4.%5.%6.%7."/>
      <w:lvlJc w:val="left"/>
      <w:pPr>
        <w:ind w:left="9162" w:hanging="1440"/>
      </w:pPr>
      <w:rPr>
        <w:rFonts w:hint="default"/>
      </w:rPr>
    </w:lvl>
    <w:lvl w:ilvl="7" w:tentative="0">
      <w:start w:val="1"/>
      <w:numFmt w:val="decimal"/>
      <w:lvlText w:val="%1.%2.%3.%4.%5.%6.%7.%8."/>
      <w:lvlJc w:val="left"/>
      <w:pPr>
        <w:ind w:left="10449" w:hanging="1440"/>
      </w:pPr>
      <w:rPr>
        <w:rFonts w:hint="default"/>
      </w:rPr>
    </w:lvl>
    <w:lvl w:ilvl="8" w:tentative="0">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16"/>
    <w:rsid w:val="00025B37"/>
    <w:rsid w:val="00031FFE"/>
    <w:rsid w:val="00033EF3"/>
    <w:rsid w:val="00034569"/>
    <w:rsid w:val="000446FE"/>
    <w:rsid w:val="00066057"/>
    <w:rsid w:val="000725A1"/>
    <w:rsid w:val="00075D75"/>
    <w:rsid w:val="000A016A"/>
    <w:rsid w:val="000A2EB8"/>
    <w:rsid w:val="000D24FA"/>
    <w:rsid w:val="000D43D7"/>
    <w:rsid w:val="000E0CC7"/>
    <w:rsid w:val="000E5D80"/>
    <w:rsid w:val="000F1726"/>
    <w:rsid w:val="000F2CCE"/>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E7FBA"/>
    <w:rsid w:val="003F0094"/>
    <w:rsid w:val="003F2CC0"/>
    <w:rsid w:val="003F3305"/>
    <w:rsid w:val="003F626B"/>
    <w:rsid w:val="00414B79"/>
    <w:rsid w:val="00417501"/>
    <w:rsid w:val="00454232"/>
    <w:rsid w:val="00460D0D"/>
    <w:rsid w:val="004639DD"/>
    <w:rsid w:val="00465F0B"/>
    <w:rsid w:val="0048714E"/>
    <w:rsid w:val="0049331D"/>
    <w:rsid w:val="004E0E67"/>
    <w:rsid w:val="004E32B6"/>
    <w:rsid w:val="004E4495"/>
    <w:rsid w:val="004F0AB0"/>
    <w:rsid w:val="004F5FC3"/>
    <w:rsid w:val="00500A06"/>
    <w:rsid w:val="0051753A"/>
    <w:rsid w:val="00527CBA"/>
    <w:rsid w:val="0054795C"/>
    <w:rsid w:val="00550EBC"/>
    <w:rsid w:val="00564295"/>
    <w:rsid w:val="005727FD"/>
    <w:rsid w:val="0058031E"/>
    <w:rsid w:val="00583637"/>
    <w:rsid w:val="005A3041"/>
    <w:rsid w:val="005A497D"/>
    <w:rsid w:val="005C5068"/>
    <w:rsid w:val="005E56F2"/>
    <w:rsid w:val="006043C1"/>
    <w:rsid w:val="00616045"/>
    <w:rsid w:val="006231AD"/>
    <w:rsid w:val="006270BB"/>
    <w:rsid w:val="00663E10"/>
    <w:rsid w:val="006744EB"/>
    <w:rsid w:val="00685259"/>
    <w:rsid w:val="00685797"/>
    <w:rsid w:val="006929E9"/>
    <w:rsid w:val="006937F7"/>
    <w:rsid w:val="006C52D1"/>
    <w:rsid w:val="006E6055"/>
    <w:rsid w:val="006F2406"/>
    <w:rsid w:val="00703C18"/>
    <w:rsid w:val="00722041"/>
    <w:rsid w:val="00723A79"/>
    <w:rsid w:val="00732B1E"/>
    <w:rsid w:val="00740B1C"/>
    <w:rsid w:val="00740EED"/>
    <w:rsid w:val="00747621"/>
    <w:rsid w:val="00751339"/>
    <w:rsid w:val="0077460E"/>
    <w:rsid w:val="007B1DE3"/>
    <w:rsid w:val="00824502"/>
    <w:rsid w:val="008367AD"/>
    <w:rsid w:val="00836C55"/>
    <w:rsid w:val="00844C12"/>
    <w:rsid w:val="00846463"/>
    <w:rsid w:val="0087687F"/>
    <w:rsid w:val="008903A0"/>
    <w:rsid w:val="00892946"/>
    <w:rsid w:val="008A0A9C"/>
    <w:rsid w:val="008C31F0"/>
    <w:rsid w:val="008C6B3D"/>
    <w:rsid w:val="008E5F60"/>
    <w:rsid w:val="00903F18"/>
    <w:rsid w:val="00926181"/>
    <w:rsid w:val="00930CA9"/>
    <w:rsid w:val="00956820"/>
    <w:rsid w:val="0096201F"/>
    <w:rsid w:val="009736C3"/>
    <w:rsid w:val="00976962"/>
    <w:rsid w:val="009A2D4D"/>
    <w:rsid w:val="009E5DF5"/>
    <w:rsid w:val="00A05C81"/>
    <w:rsid w:val="00A531E2"/>
    <w:rsid w:val="00A840D3"/>
    <w:rsid w:val="00A93F43"/>
    <w:rsid w:val="00A9682B"/>
    <w:rsid w:val="00A97BA8"/>
    <w:rsid w:val="00AA1C90"/>
    <w:rsid w:val="00AB1A51"/>
    <w:rsid w:val="00AB2EE5"/>
    <w:rsid w:val="00AD01C7"/>
    <w:rsid w:val="00AE522D"/>
    <w:rsid w:val="00AF5B60"/>
    <w:rsid w:val="00B00155"/>
    <w:rsid w:val="00B206CD"/>
    <w:rsid w:val="00B45EA8"/>
    <w:rsid w:val="00B53A9E"/>
    <w:rsid w:val="00B57D6E"/>
    <w:rsid w:val="00B71162"/>
    <w:rsid w:val="00B85BB4"/>
    <w:rsid w:val="00BA3D21"/>
    <w:rsid w:val="00BB3549"/>
    <w:rsid w:val="00BE4116"/>
    <w:rsid w:val="00BE4ADE"/>
    <w:rsid w:val="00BF0FCA"/>
    <w:rsid w:val="00BF225D"/>
    <w:rsid w:val="00C3034E"/>
    <w:rsid w:val="00C51C05"/>
    <w:rsid w:val="00C544CB"/>
    <w:rsid w:val="00C5710A"/>
    <w:rsid w:val="00C6652F"/>
    <w:rsid w:val="00C74B05"/>
    <w:rsid w:val="00C82273"/>
    <w:rsid w:val="00C8344D"/>
    <w:rsid w:val="00C83DC6"/>
    <w:rsid w:val="00CA47AE"/>
    <w:rsid w:val="00CD7BAB"/>
    <w:rsid w:val="00CF1D2A"/>
    <w:rsid w:val="00D1243E"/>
    <w:rsid w:val="00D31A5F"/>
    <w:rsid w:val="00D472D6"/>
    <w:rsid w:val="00D5454B"/>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257EE"/>
    <w:rsid w:val="00F3498C"/>
    <w:rsid w:val="00F360C0"/>
    <w:rsid w:val="00F41D87"/>
    <w:rsid w:val="00F57B5E"/>
    <w:rsid w:val="00F76FB5"/>
    <w:rsid w:val="00F90B10"/>
    <w:rsid w:val="00FA5824"/>
    <w:rsid w:val="00FA63D8"/>
    <w:rsid w:val="00FB698D"/>
    <w:rsid w:val="00FC79B6"/>
    <w:rsid w:val="00FD74D8"/>
    <w:rsid w:val="00FE2465"/>
    <w:rsid w:val="45731743"/>
    <w:rsid w:val="62D67D8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3"/>
    <w:semiHidden/>
    <w:unhideWhenUsed/>
    <w:qFormat/>
    <w:uiPriority w:val="99"/>
    <w:rPr>
      <w:rFonts w:ascii="Tahoma" w:hAnsi="Tahoma" w:cs="Tahoma"/>
      <w:sz w:val="16"/>
      <w:szCs w:val="16"/>
    </w:rPr>
  </w:style>
  <w:style w:type="paragraph" w:styleId="5">
    <w:name w:val="Body Text"/>
    <w:basedOn w:val="1"/>
    <w:link w:val="19"/>
    <w:uiPriority w:val="0"/>
    <w:pPr>
      <w:spacing w:after="120"/>
    </w:pPr>
  </w:style>
  <w:style w:type="paragraph" w:styleId="6">
    <w:name w:val="Body Text Indent"/>
    <w:basedOn w:val="1"/>
    <w:link w:val="18"/>
    <w:uiPriority w:val="0"/>
    <w:pPr>
      <w:ind w:firstLine="720"/>
      <w:jc w:val="both"/>
    </w:pPr>
    <w:rPr>
      <w:szCs w:val="22"/>
      <w:lang w:val="lv-LV"/>
    </w:rPr>
  </w:style>
  <w:style w:type="character" w:styleId="7">
    <w:name w:val="annotation reference"/>
    <w:basedOn w:val="2"/>
    <w:semiHidden/>
    <w:unhideWhenUsed/>
    <w:qFormat/>
    <w:uiPriority w:val="99"/>
    <w:rPr>
      <w:sz w:val="16"/>
      <w:szCs w:val="16"/>
    </w:rPr>
  </w:style>
  <w:style w:type="paragraph" w:styleId="8">
    <w:name w:val="annotation text"/>
    <w:basedOn w:val="1"/>
    <w:link w:val="21"/>
    <w:semiHidden/>
    <w:unhideWhenUsed/>
    <w:uiPriority w:val="99"/>
    <w:rPr>
      <w:sz w:val="20"/>
      <w:szCs w:val="20"/>
    </w:rPr>
  </w:style>
  <w:style w:type="paragraph" w:styleId="9">
    <w:name w:val="annotation subject"/>
    <w:basedOn w:val="8"/>
    <w:next w:val="8"/>
    <w:link w:val="22"/>
    <w:semiHidden/>
    <w:unhideWhenUsed/>
    <w:qFormat/>
    <w:uiPriority w:val="99"/>
    <w:rPr>
      <w:b/>
      <w:bCs/>
    </w:rPr>
  </w:style>
  <w:style w:type="paragraph" w:styleId="10">
    <w:name w:val="footer"/>
    <w:basedOn w:val="1"/>
    <w:link w:val="17"/>
    <w:qFormat/>
    <w:uiPriority w:val="99"/>
    <w:pPr>
      <w:tabs>
        <w:tab w:val="center" w:pos="4320"/>
        <w:tab w:val="right" w:pos="8640"/>
      </w:tabs>
    </w:pPr>
    <w:rPr>
      <w:rFonts w:ascii="Arial" w:hAnsi="Arial"/>
      <w:szCs w:val="20"/>
      <w:lang w:val="en-AU"/>
    </w:rPr>
  </w:style>
  <w:style w:type="paragraph" w:styleId="11">
    <w:name w:val="header"/>
    <w:basedOn w:val="1"/>
    <w:link w:val="25"/>
    <w:unhideWhenUsed/>
    <w:qFormat/>
    <w:uiPriority w:val="99"/>
    <w:pPr>
      <w:tabs>
        <w:tab w:val="center" w:pos="4153"/>
        <w:tab w:val="right" w:pos="8306"/>
      </w:tabs>
    </w:pPr>
  </w:style>
  <w:style w:type="character" w:styleId="12">
    <w:name w:val="Hyperlink"/>
    <w:basedOn w:val="2"/>
    <w:unhideWhenUsed/>
    <w:qFormat/>
    <w:uiPriority w:val="99"/>
    <w:rPr>
      <w:color w:val="0563C1" w:themeColor="hyperlink"/>
      <w:u w:val="single"/>
      <w14:textFill>
        <w14:solidFill>
          <w14:schemeClr w14:val="hlink"/>
        </w14:solidFill>
      </w14:textFill>
    </w:rPr>
  </w:style>
  <w:style w:type="character" w:styleId="13">
    <w:name w:val="page number"/>
    <w:basedOn w:val="2"/>
    <w:uiPriority w:val="0"/>
  </w:style>
  <w:style w:type="table" w:styleId="1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16"/>
    <w:qFormat/>
    <w:uiPriority w:val="0"/>
    <w:pPr>
      <w:jc w:val="center"/>
    </w:pPr>
    <w:rPr>
      <w:rFonts w:ascii="Arial" w:hAnsi="Arial"/>
      <w:b/>
      <w:lang w:val="lv-LV" w:eastAsia="ru-RU"/>
    </w:rPr>
  </w:style>
  <w:style w:type="character" w:customStyle="1" w:styleId="16">
    <w:name w:val="Title Char"/>
    <w:basedOn w:val="2"/>
    <w:link w:val="15"/>
    <w:uiPriority w:val="0"/>
    <w:rPr>
      <w:rFonts w:ascii="Arial" w:hAnsi="Arial" w:cs="Times New Roman"/>
      <w:b/>
      <w:sz w:val="24"/>
      <w:szCs w:val="24"/>
      <w:lang w:eastAsia="ru-RU"/>
    </w:rPr>
  </w:style>
  <w:style w:type="character" w:customStyle="1" w:styleId="17">
    <w:name w:val="Footer Char"/>
    <w:basedOn w:val="2"/>
    <w:link w:val="10"/>
    <w:qFormat/>
    <w:uiPriority w:val="99"/>
    <w:rPr>
      <w:rFonts w:ascii="Arial" w:hAnsi="Arial" w:cs="Times New Roman"/>
      <w:sz w:val="24"/>
      <w:szCs w:val="20"/>
      <w:lang w:val="en-AU"/>
    </w:rPr>
  </w:style>
  <w:style w:type="character" w:customStyle="1" w:styleId="18">
    <w:name w:val="Body Text Indent Char"/>
    <w:basedOn w:val="2"/>
    <w:link w:val="6"/>
    <w:uiPriority w:val="0"/>
    <w:rPr>
      <w:rFonts w:ascii="Times New Roman" w:hAnsi="Times New Roman" w:cs="Times New Roman"/>
      <w:sz w:val="24"/>
    </w:rPr>
  </w:style>
  <w:style w:type="character" w:customStyle="1" w:styleId="19">
    <w:name w:val="Body Text Char"/>
    <w:basedOn w:val="2"/>
    <w:link w:val="5"/>
    <w:uiPriority w:val="0"/>
    <w:rPr>
      <w:rFonts w:ascii="Times New Roman" w:hAnsi="Times New Roman" w:cs="Times New Roman"/>
      <w:sz w:val="24"/>
      <w:szCs w:val="24"/>
      <w:lang w:val="en-US"/>
    </w:rPr>
  </w:style>
  <w:style w:type="paragraph" w:styleId="20">
    <w:name w:val="List Paragraph"/>
    <w:basedOn w:val="1"/>
    <w:qFormat/>
    <w:uiPriority w:val="34"/>
    <w:pPr>
      <w:ind w:left="720"/>
      <w:contextualSpacing/>
    </w:pPr>
  </w:style>
  <w:style w:type="character" w:customStyle="1" w:styleId="21">
    <w:name w:val="Comment Text Char"/>
    <w:basedOn w:val="2"/>
    <w:link w:val="8"/>
    <w:semiHidden/>
    <w:qFormat/>
    <w:uiPriority w:val="99"/>
    <w:rPr>
      <w:rFonts w:ascii="Times New Roman" w:hAnsi="Times New Roman" w:cs="Times New Roman"/>
      <w:sz w:val="20"/>
      <w:szCs w:val="20"/>
      <w:lang w:val="en-US"/>
    </w:rPr>
  </w:style>
  <w:style w:type="character" w:customStyle="1" w:styleId="22">
    <w:name w:val="Comment Subject Char"/>
    <w:basedOn w:val="21"/>
    <w:link w:val="9"/>
    <w:semiHidden/>
    <w:qFormat/>
    <w:uiPriority w:val="99"/>
    <w:rPr>
      <w:rFonts w:ascii="Times New Roman" w:hAnsi="Times New Roman" w:cs="Times New Roman"/>
      <w:b/>
      <w:bCs/>
      <w:sz w:val="20"/>
      <w:szCs w:val="20"/>
      <w:lang w:val="en-US"/>
    </w:rPr>
  </w:style>
  <w:style w:type="character" w:customStyle="1" w:styleId="23">
    <w:name w:val="Balloon Text Char"/>
    <w:basedOn w:val="2"/>
    <w:link w:val="4"/>
    <w:semiHidden/>
    <w:qFormat/>
    <w:uiPriority w:val="99"/>
    <w:rPr>
      <w:rFonts w:ascii="Tahoma" w:hAnsi="Tahoma" w:cs="Tahoma"/>
      <w:sz w:val="16"/>
      <w:szCs w:val="16"/>
      <w:lang w:val="en-US"/>
    </w:rPr>
  </w:style>
  <w:style w:type="character" w:customStyle="1" w:styleId="24">
    <w:name w:val="Unresolved Mention"/>
    <w:basedOn w:val="2"/>
    <w:semiHidden/>
    <w:unhideWhenUsed/>
    <w:qFormat/>
    <w:uiPriority w:val="99"/>
    <w:rPr>
      <w:color w:val="605E5C"/>
      <w:shd w:val="clear" w:color="auto" w:fill="E1DFDD"/>
    </w:rPr>
  </w:style>
  <w:style w:type="character" w:customStyle="1" w:styleId="25">
    <w:name w:val="Header Char"/>
    <w:basedOn w:val="2"/>
    <w:link w:val="11"/>
    <w:qFormat/>
    <w:uiPriority w:val="99"/>
    <w:rPr>
      <w:rFonts w:ascii="Times New Roman" w:hAnsi="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C7881-0A69-4F3D-B11B-35D4603FBDA6}">
  <ds:schemaRefs/>
</ds:datastoreItem>
</file>

<file path=docProps/app.xml><?xml version="1.0" encoding="utf-8"?>
<Properties xmlns="http://schemas.openxmlformats.org/officeDocument/2006/extended-properties" xmlns:vt="http://schemas.openxmlformats.org/officeDocument/2006/docPropsVTypes">
  <Template>Normal</Template>
  <Pages>7</Pages>
  <Words>11532</Words>
  <Characters>6574</Characters>
  <Lines>54</Lines>
  <Paragraphs>36</Paragraphs>
  <TotalTime>0</TotalTime>
  <ScaleCrop>false</ScaleCrop>
  <LinksUpToDate>false</LinksUpToDate>
  <CharactersWithSpaces>18070</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2021-03-01T09:40:00Z</dcterms:created>
  <dc:creator>Aija Jekabsone-Lasenberga</dc:creator>
  <cp:lastModifiedBy>Admin</cp:lastModifiedBy>
  <dcterms:modified xsi:type="dcterms:W3CDTF">2021-04-01T10:55:40Z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