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8B7941">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8B7941">
        <w:rPr>
          <w:rFonts w:ascii="Times New Roman" w:eastAsia="Times New Roman" w:hAnsi="Times New Roman" w:cs="Times New Roman"/>
          <w:b/>
          <w:bCs/>
          <w:sz w:val="24"/>
          <w:szCs w:val="24"/>
        </w:rPr>
        <w:t xml:space="preserve"> SKUS 449/19-J</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8B7941">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D50D02" w:rsidRPr="00D50D02" w:rsidRDefault="00AE16F2" w:rsidP="00D50D02">
      <w:pPr>
        <w:spacing w:after="0" w:line="240" w:lineRule="auto"/>
        <w:ind w:right="51"/>
        <w:jc w:val="both"/>
        <w:rPr>
          <w:rFonts w:ascii="Times New Roman" w:eastAsia="Times New Roman" w:hAnsi="Times New Roman" w:cs="Times New Roman"/>
          <w:sz w:val="24"/>
          <w:szCs w:val="24"/>
        </w:rPr>
      </w:pPr>
      <w:bookmarkStart w:id="0" w:name="_Hlk496101768"/>
      <w:r w:rsidRPr="009B52A0">
        <w:rPr>
          <w:rFonts w:ascii="Times New Roman" w:eastAsia="Times New Roman" w:hAnsi="Times New Roman" w:cs="Times New Roman"/>
          <w:b/>
          <w:bCs/>
          <w:sz w:val="24"/>
          <w:szCs w:val="24"/>
        </w:rPr>
        <w:t>Johnson &amp; Johnson AB Latvijas filiāle</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40003600116</w:t>
      </w:r>
      <w:r w:rsidRPr="00CA4972">
        <w:rPr>
          <w:rFonts w:ascii="Times New Roman" w:eastAsia="Times New Roman" w:hAnsi="Times New Roman" w:cs="Times New Roman"/>
          <w:sz w:val="24"/>
          <w:szCs w:val="24"/>
        </w:rPr>
        <w:t xml:space="preserve">, tās </w:t>
      </w:r>
      <w:r w:rsidR="00842EAB">
        <w:rPr>
          <w:rFonts w:ascii="Times New Roman" w:eastAsia="Times New Roman" w:hAnsi="Times New Roman" w:cs="Times New Roman"/>
          <w:sz w:val="24"/>
          <w:szCs w:val="24"/>
        </w:rPr>
        <w:t xml:space="preserve">ķirurģijas departamenta vadītājas Latvijā Annas </w:t>
      </w:r>
      <w:proofErr w:type="spellStart"/>
      <w:r w:rsidR="00842EAB">
        <w:rPr>
          <w:rFonts w:ascii="Times New Roman" w:eastAsia="Times New Roman" w:hAnsi="Times New Roman" w:cs="Times New Roman"/>
          <w:sz w:val="24"/>
          <w:szCs w:val="24"/>
        </w:rPr>
        <w:t>Gabuniyas</w:t>
      </w:r>
      <w:proofErr w:type="spellEnd"/>
      <w:r w:rsidR="00842EAB">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w:t>
      </w:r>
      <w:r w:rsidR="00842EAB">
        <w:rPr>
          <w:rFonts w:ascii="Times New Roman" w:eastAsia="Times New Roman" w:hAnsi="Times New Roman" w:cs="Times New Roman"/>
          <w:sz w:val="24"/>
          <w:szCs w:val="24"/>
        </w:rPr>
        <w:t xml:space="preserve"> pilnvaras </w:t>
      </w:r>
      <w:r w:rsidRPr="00CA4972">
        <w:rPr>
          <w:rFonts w:ascii="Times New Roman" w:eastAsia="Times New Roman" w:hAnsi="Times New Roman" w:cs="Times New Roman"/>
          <w:sz w:val="24"/>
          <w:szCs w:val="24"/>
        </w:rPr>
        <w:t>pamata</w:t>
      </w:r>
      <w:bookmarkEnd w:id="0"/>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 </w:t>
      </w:r>
      <w:r w:rsidR="008B7941">
        <w:rPr>
          <w:rFonts w:ascii="Times New Roman" w:eastAsia="Times New Roman" w:hAnsi="Times New Roman" w:cs="Times New Roman"/>
          <w:sz w:val="24"/>
          <w:szCs w:val="24"/>
        </w:rPr>
        <w:t xml:space="preserve">3.septembrī </w:t>
      </w:r>
      <w:r w:rsidR="00D50D02" w:rsidRPr="00D50D02">
        <w:rPr>
          <w:rFonts w:ascii="Times New Roman" w:eastAsia="Times New Roman" w:hAnsi="Times New Roman" w:cs="Times New Roman"/>
          <w:sz w:val="24"/>
          <w:szCs w:val="24"/>
        </w:rPr>
        <w:t xml:space="preserve">noslēgto Vienošanos </w:t>
      </w:r>
      <w:proofErr w:type="spellStart"/>
      <w:r w:rsidR="00D50D02" w:rsidRPr="00D50D02">
        <w:rPr>
          <w:rFonts w:ascii="Times New Roman" w:eastAsia="Times New Roman" w:hAnsi="Times New Roman" w:cs="Times New Roman"/>
          <w:sz w:val="24"/>
          <w:szCs w:val="24"/>
        </w:rPr>
        <w:t>Nr.SKUS</w:t>
      </w:r>
      <w:proofErr w:type="spellEnd"/>
      <w:r w:rsidR="00D50D02" w:rsidRPr="00D50D02">
        <w:rPr>
          <w:rFonts w:ascii="Times New Roman" w:eastAsia="Times New Roman" w:hAnsi="Times New Roman" w:cs="Times New Roman"/>
          <w:sz w:val="24"/>
          <w:szCs w:val="24"/>
        </w:rPr>
        <w:t xml:space="preserve"> </w:t>
      </w:r>
      <w:r w:rsidR="008B7941">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w:t>
      </w:r>
      <w:proofErr w:type="spellStart"/>
      <w:r w:rsidRPr="00D50D02">
        <w:rPr>
          <w:rFonts w:ascii="Times New Roman" w:eastAsia="Times New Roman" w:hAnsi="Times New Roman" w:cs="Times New Roman"/>
          <w:sz w:val="24"/>
          <w:szCs w:val="24"/>
          <w:lang w:eastAsia="lv-LV"/>
        </w:rPr>
        <w:t>pasūta</w:t>
      </w:r>
      <w:proofErr w:type="spellEnd"/>
      <w:r w:rsidRPr="00D50D02">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AE16F2">
        <w:rPr>
          <w:rFonts w:ascii="Times New Roman" w:eastAsia="Calibri" w:hAnsi="Times New Roman" w:cs="Times New Roman"/>
          <w:bCs/>
          <w:sz w:val="24"/>
          <w:szCs w:val="24"/>
        </w:rPr>
        <w:t>2</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AE16F2">
        <w:rPr>
          <w:rFonts w:ascii="Times New Roman" w:eastAsia="Calibri" w:hAnsi="Times New Roman" w:cs="Times New Roman"/>
          <w:bCs/>
          <w:sz w:val="24"/>
          <w:szCs w:val="24"/>
        </w:rPr>
        <w:t>2</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AE16F2">
        <w:rPr>
          <w:rFonts w:ascii="Times New Roman" w:eastAsia="Calibri" w:hAnsi="Times New Roman" w:cs="Times New Roman"/>
          <w:bCs/>
          <w:sz w:val="24"/>
          <w:szCs w:val="24"/>
        </w:rPr>
        <w:t>2</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0D02">
        <w:rPr>
          <w:rFonts w:ascii="Times New Roman" w:eastAsia="Times New Roman" w:hAnsi="Times New Roman" w:cs="Times New Roman"/>
          <w:sz w:val="24"/>
          <w:szCs w:val="24"/>
          <w:lang w:eastAsia="lv-LV"/>
        </w:rPr>
        <w:t>nosūta</w:t>
      </w:r>
      <w:proofErr w:type="spellEnd"/>
      <w:r w:rsidRPr="00D50D02">
        <w:rPr>
          <w:rFonts w:ascii="Times New Roman" w:eastAsia="Times New Roman" w:hAnsi="Times New Roman" w:cs="Times New Roman"/>
          <w:sz w:val="24"/>
          <w:szCs w:val="24"/>
          <w:lang w:eastAsia="lv-LV"/>
        </w:rPr>
        <w:t xml:space="preserve">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50D02">
        <w:rPr>
          <w:rFonts w:ascii="Times New Roman" w:eastAsia="Calibri" w:hAnsi="Times New Roman" w:cs="Times New Roman"/>
          <w:sz w:val="24"/>
          <w:szCs w:val="24"/>
        </w:rPr>
        <w:t>nodarītāja</w:t>
      </w:r>
      <w:proofErr w:type="spellEnd"/>
      <w:r w:rsidRPr="00D50D0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w:t>
      </w:r>
      <w:proofErr w:type="spellStart"/>
      <w:r w:rsidRPr="00D50D02">
        <w:rPr>
          <w:rFonts w:ascii="Times New Roman" w:eastAsia="Times New Roman" w:hAnsi="Times New Roman" w:cs="Times New Roman"/>
          <w:sz w:val="24"/>
          <w:szCs w:val="24"/>
        </w:rPr>
        <w:t>rakstveidā</w:t>
      </w:r>
      <w:proofErr w:type="spellEnd"/>
      <w:r w:rsidRPr="00D50D02">
        <w:rPr>
          <w:rFonts w:ascii="Times New Roman" w:eastAsia="Times New Roman" w:hAnsi="Times New Roman" w:cs="Times New Roman"/>
          <w:sz w:val="24"/>
          <w:szCs w:val="24"/>
        </w:rPr>
        <w:t xml:space="preserve">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041981">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842EAB" w:rsidRDefault="005F5F66" w:rsidP="00842EAB">
      <w:pPr>
        <w:pStyle w:val="ListParagraph"/>
        <w:numPr>
          <w:ilvl w:val="2"/>
          <w:numId w:val="2"/>
        </w:numPr>
        <w:spacing w:after="0" w:line="240" w:lineRule="auto"/>
        <w:ind w:left="1276" w:right="49" w:hanging="709"/>
        <w:rPr>
          <w:rFonts w:ascii="Times New Roman" w:eastAsia="Calibri" w:hAnsi="Times New Roman" w:cs="Times New Roman"/>
          <w:bCs/>
          <w:sz w:val="24"/>
          <w:szCs w:val="24"/>
        </w:rPr>
      </w:pPr>
      <w:r>
        <w:rPr>
          <w:rFonts w:ascii="Times New Roman" w:eastAsia="Calibri" w:hAnsi="Times New Roman" w:cs="Times New Roman"/>
          <w:bCs/>
          <w:sz w:val="24"/>
          <w:szCs w:val="24"/>
        </w:rPr>
        <w:t>no Piegādātāja puses:</w:t>
      </w:r>
      <w:r w:rsidR="00842EAB">
        <w:rPr>
          <w:rFonts w:ascii="Times New Roman" w:eastAsia="Calibri" w:hAnsi="Times New Roman" w:cs="Times New Roman"/>
          <w:bCs/>
          <w:sz w:val="24"/>
          <w:szCs w:val="24"/>
        </w:rPr>
        <w:t xml:space="preserve"> </w:t>
      </w:r>
      <w:r w:rsidR="00041981">
        <w:rPr>
          <w:rFonts w:ascii="Times New Roman" w:eastAsia="Calibri" w:hAnsi="Times New Roman" w:cs="Times New Roman"/>
          <w:bCs/>
          <w:sz w:val="24"/>
          <w:szCs w:val="24"/>
        </w:rPr>
        <w:t>(..)</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bookmarkStart w:id="2" w:name="_GoBack"/>
      <w:bookmarkEnd w:id="2"/>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AE16F2" w:rsidRPr="00C122DB" w:rsidRDefault="00AE16F2" w:rsidP="00AE16F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AE16F2" w:rsidRPr="009B52A0" w:rsidRDefault="00AE16F2" w:rsidP="00AE16F2">
            <w:pPr>
              <w:tabs>
                <w:tab w:val="left" w:pos="2160"/>
              </w:tabs>
              <w:spacing w:after="0" w:line="256" w:lineRule="auto"/>
              <w:ind w:right="-1"/>
              <w:jc w:val="both"/>
              <w:rPr>
                <w:rFonts w:ascii="Times New Roman" w:eastAsia="Times New Roman" w:hAnsi="Times New Roman" w:cs="Times New Roman"/>
                <w:b/>
                <w:bCs/>
                <w:sz w:val="24"/>
                <w:szCs w:val="24"/>
                <w:lang w:val="lt-LT"/>
              </w:rPr>
            </w:pPr>
            <w:r w:rsidRPr="009B52A0">
              <w:rPr>
                <w:rFonts w:ascii="Times New Roman" w:eastAsia="Times New Roman" w:hAnsi="Times New Roman" w:cs="Times New Roman"/>
                <w:b/>
                <w:bCs/>
                <w:sz w:val="24"/>
                <w:szCs w:val="24"/>
              </w:rPr>
              <w:t>Johnson &amp; Johnson AB Latvijas filiāle</w:t>
            </w: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40003600116</w:t>
            </w:r>
          </w:p>
          <w:p w:rsidR="00AE16F2" w:rsidRPr="00567250" w:rsidRDefault="00AE16F2" w:rsidP="00AE1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Mūkusalas iela 101, Rīga, LV - 1004</w:t>
            </w:r>
          </w:p>
          <w:p w:rsidR="00AE16F2" w:rsidRPr="002819F9" w:rsidRDefault="00AE16F2" w:rsidP="00AE16F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Luminor Bank AS Latvijas filiāle</w:t>
            </w: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NDEALV2X</w:t>
            </w: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LV85NDEA0000085102457</w:t>
            </w: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p>
          <w:p w:rsidR="00AE16F2" w:rsidRDefault="00AE16F2" w:rsidP="00AE16F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842EAB" w:rsidP="00AE16F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A.Gabuniya</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4F" w:rsidRDefault="002D2B4F">
      <w:pPr>
        <w:spacing w:after="0" w:line="240" w:lineRule="auto"/>
      </w:pPr>
      <w:r>
        <w:separator/>
      </w:r>
    </w:p>
  </w:endnote>
  <w:endnote w:type="continuationSeparator" w:id="0">
    <w:p w:rsidR="002D2B4F" w:rsidRDefault="002D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Pr>
        <w:noProof/>
      </w:rPr>
      <w:t>27</w:t>
    </w:r>
    <w:r>
      <w:fldChar w:fldCharType="end"/>
    </w:r>
  </w:p>
  <w:p w:rsidR="00ED2341" w:rsidRDefault="000419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4F" w:rsidRDefault="002D2B4F">
      <w:pPr>
        <w:spacing w:after="0" w:line="240" w:lineRule="auto"/>
      </w:pPr>
      <w:r>
        <w:separator/>
      </w:r>
    </w:p>
  </w:footnote>
  <w:footnote w:type="continuationSeparator" w:id="0">
    <w:p w:rsidR="002D2B4F" w:rsidRDefault="002D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04198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041981"/>
    <w:rsid w:val="001625EE"/>
    <w:rsid w:val="001C372E"/>
    <w:rsid w:val="001F5A40"/>
    <w:rsid w:val="002A6C5B"/>
    <w:rsid w:val="002D2B4F"/>
    <w:rsid w:val="00307A19"/>
    <w:rsid w:val="0034184C"/>
    <w:rsid w:val="003B19E5"/>
    <w:rsid w:val="003F1611"/>
    <w:rsid w:val="004260B8"/>
    <w:rsid w:val="0046678A"/>
    <w:rsid w:val="00481C96"/>
    <w:rsid w:val="00485CBD"/>
    <w:rsid w:val="00493E93"/>
    <w:rsid w:val="004B20E9"/>
    <w:rsid w:val="004D5FB0"/>
    <w:rsid w:val="005F5F66"/>
    <w:rsid w:val="00734D4B"/>
    <w:rsid w:val="00734D5E"/>
    <w:rsid w:val="00786DCC"/>
    <w:rsid w:val="007B578E"/>
    <w:rsid w:val="00825585"/>
    <w:rsid w:val="00842EAB"/>
    <w:rsid w:val="00852628"/>
    <w:rsid w:val="00886EF6"/>
    <w:rsid w:val="008B7941"/>
    <w:rsid w:val="009057B7"/>
    <w:rsid w:val="00956131"/>
    <w:rsid w:val="009A30E6"/>
    <w:rsid w:val="00A17089"/>
    <w:rsid w:val="00A37F95"/>
    <w:rsid w:val="00A63D5C"/>
    <w:rsid w:val="00A64D56"/>
    <w:rsid w:val="00AE16F2"/>
    <w:rsid w:val="00CD3FBF"/>
    <w:rsid w:val="00D33DC6"/>
    <w:rsid w:val="00D50D02"/>
    <w:rsid w:val="00E16E89"/>
    <w:rsid w:val="00E26852"/>
    <w:rsid w:val="00E5277B"/>
    <w:rsid w:val="00F1783F"/>
    <w:rsid w:val="00F30219"/>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260"/>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 w:type="table" w:styleId="TableGrid">
    <w:name w:val="Table Grid"/>
    <w:basedOn w:val="TableNormal"/>
    <w:uiPriority w:val="39"/>
    <w:rsid w:val="0084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2074">
      <w:bodyDiv w:val="1"/>
      <w:marLeft w:val="0"/>
      <w:marRight w:val="0"/>
      <w:marTop w:val="0"/>
      <w:marBottom w:val="0"/>
      <w:divBdr>
        <w:top w:val="none" w:sz="0" w:space="0" w:color="auto"/>
        <w:left w:val="none" w:sz="0" w:space="0" w:color="auto"/>
        <w:bottom w:val="none" w:sz="0" w:space="0" w:color="auto"/>
        <w:right w:val="none" w:sz="0" w:space="0" w:color="auto"/>
      </w:divBdr>
    </w:div>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80675103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8445</Words>
  <Characters>4814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2019-07-25T11:58:00Z</dcterms:created>
  <dcterms:modified xsi:type="dcterms:W3CDTF">2019-09-16T10:49:00Z</dcterms:modified>
</cp:coreProperties>
</file>